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8BB9F" w14:textId="77777777" w:rsidR="00715508" w:rsidRPr="00A53689" w:rsidRDefault="00715508" w:rsidP="00715508">
      <w:pPr>
        <w:spacing w:line="240" w:lineRule="auto"/>
        <w:rPr>
          <w:sz w:val="2"/>
        </w:rPr>
        <w:sectPr w:rsidR="00715508" w:rsidRPr="00A53689" w:rsidSect="0033759F">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200" w:bottom="1728" w:left="1200" w:header="432" w:footer="504" w:gutter="0"/>
          <w:cols w:space="720"/>
          <w:titlePg/>
          <w:docGrid w:linePitch="360"/>
        </w:sectPr>
      </w:pPr>
      <w:commentRangeStart w:id="0"/>
      <w:commentRangeEnd w:id="0"/>
      <w:r w:rsidRPr="00A53689">
        <w:rPr>
          <w:rStyle w:val="CommentReference"/>
        </w:rPr>
        <w:commentReference w:id="0"/>
      </w:r>
    </w:p>
    <w:p w14:paraId="0EC8E2A7" w14:textId="509B4DE7" w:rsidR="00715508" w:rsidRPr="00A53689" w:rsidRDefault="0033759F" w:rsidP="0033759F">
      <w:pPr>
        <w:pStyle w:val="Session"/>
      </w:pPr>
      <w:r w:rsidRPr="00A53689">
        <w:t>Seventy-sixth session</w:t>
      </w:r>
    </w:p>
    <w:p w14:paraId="63E18EF7" w14:textId="77777777" w:rsidR="0033759F" w:rsidRPr="00A53689" w:rsidRDefault="0033759F" w:rsidP="0033759F">
      <w:pPr>
        <w:pStyle w:val="AgendaItemNormal"/>
      </w:pPr>
      <w:r w:rsidRPr="00A53689">
        <w:t>Items 140 and 141 of the preliminary list*</w:t>
      </w:r>
    </w:p>
    <w:p w14:paraId="5F368148" w14:textId="651E4A71" w:rsidR="0033759F" w:rsidRPr="00A53689" w:rsidRDefault="0033759F" w:rsidP="0033759F">
      <w:pPr>
        <w:pStyle w:val="Session"/>
        <w:spacing w:line="120" w:lineRule="exact"/>
        <w:rPr>
          <w:sz w:val="10"/>
        </w:rPr>
      </w:pPr>
    </w:p>
    <w:p w14:paraId="490A8D82" w14:textId="77777777" w:rsidR="0033759F" w:rsidRPr="00A53689" w:rsidRDefault="0033759F" w:rsidP="0033759F">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0"/>
      </w:pPr>
      <w:r w:rsidRPr="00A53689">
        <w:t>Proposed programme budget for 2022</w:t>
      </w:r>
    </w:p>
    <w:p w14:paraId="34E392B6" w14:textId="0E17BBE7" w:rsidR="0033759F" w:rsidRPr="00A53689" w:rsidRDefault="0033759F" w:rsidP="0033759F">
      <w:pPr>
        <w:pStyle w:val="Session"/>
        <w:spacing w:line="120" w:lineRule="exact"/>
        <w:rPr>
          <w:sz w:val="10"/>
        </w:rPr>
      </w:pPr>
    </w:p>
    <w:p w14:paraId="7108886F" w14:textId="19802BD5" w:rsidR="0033759F" w:rsidRPr="00A53689" w:rsidRDefault="0033759F" w:rsidP="0033759F">
      <w:pPr>
        <w:pStyle w:val="AgendaTitleH2"/>
        <w:tabs>
          <w:tab w:val="right" w:pos="1022"/>
          <w:tab w:val="left" w:pos="1267"/>
          <w:tab w:val="left" w:pos="2218"/>
          <w:tab w:val="left" w:pos="2693"/>
          <w:tab w:val="left" w:pos="3182"/>
          <w:tab w:val="left" w:pos="3658"/>
          <w:tab w:val="left" w:pos="4133"/>
          <w:tab w:val="left" w:pos="4622"/>
          <w:tab w:val="left" w:pos="5098"/>
          <w:tab w:val="left" w:pos="5573"/>
          <w:tab w:val="left" w:pos="6048"/>
        </w:tabs>
        <w:ind w:right="0"/>
      </w:pPr>
      <w:r w:rsidRPr="00A53689">
        <w:t>Programme planning</w:t>
      </w:r>
    </w:p>
    <w:p w14:paraId="05942329" w14:textId="1F158AF4" w:rsidR="0033759F" w:rsidRPr="00A53689" w:rsidRDefault="0033759F" w:rsidP="0033759F">
      <w:pPr>
        <w:pStyle w:val="SingleTxt"/>
        <w:spacing w:after="0" w:line="120" w:lineRule="exact"/>
        <w:rPr>
          <w:sz w:val="10"/>
        </w:rPr>
      </w:pPr>
    </w:p>
    <w:p w14:paraId="188068D1" w14:textId="1141D9EB" w:rsidR="0033759F" w:rsidRPr="00A53689" w:rsidRDefault="0033759F" w:rsidP="0033759F">
      <w:pPr>
        <w:pStyle w:val="SingleTxt"/>
        <w:spacing w:after="0" w:line="120" w:lineRule="exact"/>
        <w:rPr>
          <w:sz w:val="10"/>
        </w:rPr>
      </w:pPr>
    </w:p>
    <w:p w14:paraId="2651C47F" w14:textId="29EBF17D" w:rsidR="0033759F" w:rsidRPr="00A53689" w:rsidRDefault="0033759F" w:rsidP="0033759F">
      <w:pPr>
        <w:pStyle w:val="SingleTxt"/>
        <w:spacing w:after="0" w:line="240" w:lineRule="auto"/>
        <w:rPr>
          <w:sz w:val="10"/>
        </w:rPr>
      </w:pPr>
      <w:bookmarkStart w:id="1" w:name="_GoBack"/>
      <w:bookmarkEnd w:id="1"/>
    </w:p>
    <w:p w14:paraId="1E9B12A9" w14:textId="1B8E21C1" w:rsidR="001E4C14" w:rsidRPr="00A53689" w:rsidRDefault="001E4C14" w:rsidP="0033759F">
      <w:pPr>
        <w:framePr w:w="9792" w:h="432" w:hSpace="180" w:wrap="around" w:vAnchor="page" w:hAnchor="page" w:x="1196" w:y="1296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z w:val="17"/>
        </w:rPr>
      </w:pPr>
      <w:r w:rsidRPr="00A53689">
        <w:rPr>
          <w:sz w:val="17"/>
        </w:rPr>
        <w:tab/>
        <w:t>*</w:t>
      </w:r>
      <w:r w:rsidRPr="00A53689">
        <w:rPr>
          <w:sz w:val="17"/>
        </w:rPr>
        <w:tab/>
      </w:r>
      <w:hyperlink r:id="rId19" w:history="1">
        <w:r w:rsidRPr="00A53689">
          <w:rPr>
            <w:rStyle w:val="Hyperlink"/>
            <w:sz w:val="17"/>
          </w:rPr>
          <w:t>A/76/50</w:t>
        </w:r>
      </w:hyperlink>
      <w:r w:rsidRPr="00A53689">
        <w:rPr>
          <w:sz w:val="17"/>
        </w:rPr>
        <w:t>.</w:t>
      </w:r>
    </w:p>
    <w:p w14:paraId="0BFDEF6A" w14:textId="36B1B17F" w:rsidR="0033759F" w:rsidRPr="00A53689" w:rsidRDefault="0033759F" w:rsidP="0033759F">
      <w:pPr>
        <w:framePr w:w="9792" w:h="432" w:hSpace="180" w:wrap="around" w:vAnchor="page" w:hAnchor="page" w:x="1196" w:y="1296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z w:val="17"/>
        </w:rPr>
      </w:pPr>
      <w:r w:rsidRPr="00A53689">
        <w:rPr>
          <w:sz w:val="17"/>
        </w:rPr>
        <w:tab/>
      </w:r>
      <w:r w:rsidR="001E4C14" w:rsidRPr="00A53689">
        <w:rPr>
          <w:sz w:val="17"/>
        </w:rPr>
        <w:t>*</w:t>
      </w:r>
      <w:r w:rsidRPr="00A53689">
        <w:rPr>
          <w:sz w:val="17"/>
        </w:rPr>
        <w:t>*</w:t>
      </w:r>
      <w:r w:rsidRPr="00A53689">
        <w:rPr>
          <w:sz w:val="17"/>
        </w:rPr>
        <w:tab/>
        <w:t xml:space="preserve">In keeping with paragraph 11 of resolution </w:t>
      </w:r>
      <w:hyperlink r:id="rId20" w:history="1">
        <w:r w:rsidRPr="00A53689">
          <w:rPr>
            <w:rStyle w:val="Hyperlink"/>
            <w:sz w:val="17"/>
          </w:rPr>
          <w:t>72/266</w:t>
        </w:r>
      </w:hyperlink>
      <w:r w:rsidRPr="00A53689">
        <w:rPr>
          <w:sz w:val="17"/>
        </w:rPr>
        <w:t xml:space="preserve"> A, the part consisting of the programme plan and programme performance information is submitted through the Committee for Programme and Coordination for the consideration of the General Assembly.</w:t>
      </w:r>
    </w:p>
    <w:p w14:paraId="0111CA1A" w14:textId="59F31A72" w:rsidR="0033759F" w:rsidRPr="00A53689" w:rsidRDefault="0033759F" w:rsidP="0033759F">
      <w:pPr>
        <w:framePr w:w="9792" w:h="432" w:hSpace="180" w:wrap="around" w:vAnchor="page" w:hAnchor="page" w:x="1196" w:y="12961"/>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7" w:hanging="576"/>
        <w:rPr>
          <w:sz w:val="17"/>
        </w:rPr>
      </w:pPr>
      <w:r w:rsidRPr="00A53689">
        <w:rPr>
          <w:sz w:val="17"/>
        </w:rPr>
        <w:tab/>
      </w:r>
      <w:r w:rsidR="001E4C14" w:rsidRPr="00A53689">
        <w:rPr>
          <w:sz w:val="17"/>
        </w:rPr>
        <w:t>*</w:t>
      </w:r>
      <w:r w:rsidRPr="00A53689">
        <w:rPr>
          <w:sz w:val="17"/>
        </w:rPr>
        <w:t>**</w:t>
      </w:r>
      <w:r w:rsidRPr="00A53689">
        <w:rPr>
          <w:sz w:val="17"/>
        </w:rPr>
        <w:tab/>
        <w:t xml:space="preserve">In keeping with paragraph 11 of resolution </w:t>
      </w:r>
      <w:hyperlink r:id="rId21" w:history="1">
        <w:r w:rsidRPr="00A53689">
          <w:rPr>
            <w:rStyle w:val="Hyperlink"/>
            <w:sz w:val="17"/>
          </w:rPr>
          <w:t>72/266</w:t>
        </w:r>
      </w:hyperlink>
      <w:r w:rsidRPr="00A53689">
        <w:rPr>
          <w:sz w:val="17"/>
        </w:rPr>
        <w:t xml:space="preserve"> A, the part consisting of the post and non</w:t>
      </w:r>
      <w:r w:rsidR="001E4C14" w:rsidRPr="00A53689">
        <w:rPr>
          <w:sz w:val="17"/>
        </w:rPr>
        <w:t>-</w:t>
      </w:r>
      <w:r w:rsidRPr="00A53689">
        <w:rPr>
          <w:sz w:val="17"/>
        </w:rPr>
        <w:t>post resource requirements is submitted through the Advisory Committee on Administrative and Budgetary Questions for the consideration of the General Assembly.</w:t>
      </w:r>
    </w:p>
    <w:p w14:paraId="5B9C0879" w14:textId="4A74E5F0" w:rsidR="0033759F" w:rsidRPr="00A53689" w:rsidRDefault="0033759F" w:rsidP="0033759F">
      <w:pPr>
        <w:pStyle w:val="TitleHCH"/>
        <w:ind w:left="1267" w:right="1260" w:hanging="1267"/>
        <w:rPr>
          <w:position w:val="6"/>
          <w:sz w:val="20"/>
        </w:rPr>
      </w:pPr>
      <w:r w:rsidRPr="00A53689">
        <w:tab/>
      </w:r>
      <w:r w:rsidRPr="00A53689">
        <w:tab/>
        <w:t>Proposed programme budget for 2022</w:t>
      </w:r>
    </w:p>
    <w:p w14:paraId="391436F2" w14:textId="578CB8FB" w:rsidR="0033759F" w:rsidRPr="00A53689" w:rsidRDefault="0033759F" w:rsidP="0033759F">
      <w:pPr>
        <w:pStyle w:val="SingleTxt"/>
        <w:spacing w:after="0" w:line="120" w:lineRule="exact"/>
        <w:rPr>
          <w:sz w:val="10"/>
        </w:rPr>
      </w:pPr>
    </w:p>
    <w:p w14:paraId="4CA15192" w14:textId="63C32674" w:rsidR="0033759F" w:rsidRPr="00A53689" w:rsidRDefault="0033759F" w:rsidP="0033759F">
      <w:pPr>
        <w:pStyle w:val="SingleTxt"/>
        <w:spacing w:after="0" w:line="120" w:lineRule="exact"/>
        <w:rPr>
          <w:sz w:val="10"/>
        </w:rPr>
      </w:pPr>
    </w:p>
    <w:p w14:paraId="50A716DE" w14:textId="6BEDD724" w:rsidR="0033759F" w:rsidRPr="00A53689" w:rsidRDefault="0033759F" w:rsidP="0033759F">
      <w:pPr>
        <w:pStyle w:val="H1"/>
        <w:ind w:right="18"/>
      </w:pPr>
      <w:r w:rsidRPr="00A53689">
        <w:tab/>
      </w:r>
      <w:r w:rsidRPr="00A53689">
        <w:tab/>
        <w:t>Part IV</w:t>
      </w:r>
    </w:p>
    <w:p w14:paraId="1E636861" w14:textId="5BA37A48" w:rsidR="0033759F" w:rsidRPr="00A53689" w:rsidRDefault="0033759F" w:rsidP="0033759F">
      <w:pPr>
        <w:pStyle w:val="H1"/>
        <w:ind w:right="18"/>
      </w:pPr>
      <w:r w:rsidRPr="00A53689">
        <w:tab/>
      </w:r>
      <w:r w:rsidRPr="00A53689">
        <w:tab/>
        <w:t>International cooperation for development</w:t>
      </w:r>
    </w:p>
    <w:p w14:paraId="29970C53" w14:textId="22C0A2C6" w:rsidR="0033759F" w:rsidRPr="00A53689" w:rsidRDefault="0033759F" w:rsidP="0033759F">
      <w:pPr>
        <w:pStyle w:val="SingleTxt"/>
        <w:spacing w:after="0" w:line="120" w:lineRule="exact"/>
        <w:rPr>
          <w:sz w:val="10"/>
        </w:rPr>
      </w:pPr>
    </w:p>
    <w:p w14:paraId="53313881" w14:textId="22519E02" w:rsidR="0033759F" w:rsidRPr="00A53689" w:rsidRDefault="0033759F" w:rsidP="0033759F">
      <w:pPr>
        <w:pStyle w:val="SingleTxt"/>
        <w:spacing w:after="0" w:line="120" w:lineRule="exact"/>
        <w:rPr>
          <w:sz w:val="10"/>
        </w:rPr>
      </w:pPr>
    </w:p>
    <w:p w14:paraId="302770D8" w14:textId="2B12EC2D" w:rsidR="0033759F" w:rsidRPr="00A53689" w:rsidRDefault="0033759F" w:rsidP="0033759F">
      <w:pPr>
        <w:pStyle w:val="HCh"/>
        <w:ind w:left="1267" w:right="1260" w:hanging="1267"/>
      </w:pPr>
      <w:r w:rsidRPr="00A53689">
        <w:tab/>
      </w:r>
      <w:r w:rsidRPr="00A53689">
        <w:tab/>
        <w:t>Section 15</w:t>
      </w:r>
    </w:p>
    <w:p w14:paraId="0FFB577D" w14:textId="233B49C1" w:rsidR="0033759F" w:rsidRPr="00A53689" w:rsidRDefault="0033759F" w:rsidP="0033759F">
      <w:pPr>
        <w:pStyle w:val="TitleHCH"/>
        <w:ind w:left="1267" w:right="1260" w:hanging="1267"/>
      </w:pPr>
      <w:r w:rsidRPr="00A53689">
        <w:tab/>
      </w:r>
      <w:r w:rsidRPr="00A53689">
        <w:tab/>
        <w:t>Human settlements</w:t>
      </w:r>
    </w:p>
    <w:p w14:paraId="34892976" w14:textId="0D085E20" w:rsidR="0033759F" w:rsidRPr="00A53689" w:rsidRDefault="0033759F" w:rsidP="0033759F">
      <w:pPr>
        <w:pStyle w:val="SingleTxt"/>
        <w:spacing w:after="0" w:line="120" w:lineRule="exact"/>
        <w:rPr>
          <w:sz w:val="10"/>
        </w:rPr>
      </w:pPr>
    </w:p>
    <w:p w14:paraId="150FA554" w14:textId="144647BB" w:rsidR="0033759F" w:rsidRPr="00A53689" w:rsidRDefault="0033759F" w:rsidP="0033759F">
      <w:pPr>
        <w:pStyle w:val="SingleTxt"/>
        <w:spacing w:after="0" w:line="120" w:lineRule="exact"/>
        <w:rPr>
          <w:sz w:val="10"/>
        </w:rPr>
      </w:pPr>
    </w:p>
    <w:p w14:paraId="673A9DF5" w14:textId="51AA1508" w:rsidR="0033759F" w:rsidRPr="00A53689" w:rsidRDefault="0033759F" w:rsidP="00337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ab/>
      </w:r>
      <w:r w:rsidRPr="00A53689">
        <w:tab/>
        <w:t>Programme 12</w:t>
      </w:r>
    </w:p>
    <w:p w14:paraId="04F5AECC" w14:textId="005AC550" w:rsidR="0033759F" w:rsidRPr="00A53689" w:rsidRDefault="0033759F" w:rsidP="003375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ab/>
      </w:r>
      <w:r w:rsidRPr="00A53689">
        <w:tab/>
        <w:t>Human settlements</w:t>
      </w:r>
    </w:p>
    <w:p w14:paraId="35503B2C" w14:textId="61FAC7CC" w:rsidR="0033759F" w:rsidRPr="00A53689" w:rsidRDefault="0033759F" w:rsidP="0033759F">
      <w:pPr>
        <w:pStyle w:val="SingleTxt"/>
        <w:spacing w:after="0" w:line="120" w:lineRule="exact"/>
        <w:rPr>
          <w:sz w:val="10"/>
          <w:lang w:val="en-US"/>
        </w:rPr>
      </w:pPr>
    </w:p>
    <w:p w14:paraId="6CCFC9E7" w14:textId="7A81993A" w:rsidR="0033759F" w:rsidRPr="00A53689" w:rsidRDefault="0033759F" w:rsidP="0033759F">
      <w:pPr>
        <w:pStyle w:val="SingleTxt"/>
        <w:spacing w:after="0" w:line="120" w:lineRule="exact"/>
        <w:rPr>
          <w:sz w:val="10"/>
          <w:lang w:val="en-US"/>
        </w:rPr>
      </w:pPr>
    </w:p>
    <w:p w14:paraId="58E03F14" w14:textId="2DE0C998" w:rsidR="0033759F" w:rsidRPr="00A53689" w:rsidRDefault="0033759F" w:rsidP="0033759F">
      <w:pPr>
        <w:pStyle w:val="SingleTxt"/>
        <w:spacing w:after="0" w:line="120" w:lineRule="exact"/>
        <w:rPr>
          <w:sz w:val="10"/>
          <w:lang w:val="en-US"/>
        </w:rPr>
      </w:pPr>
    </w:p>
    <w:p w14:paraId="23A29234" w14:textId="3D744F7C" w:rsidR="0033759F" w:rsidRPr="00A53689" w:rsidRDefault="001E4C14" w:rsidP="0033759F">
      <w:pPr>
        <w:pStyle w:val="HCh"/>
        <w:spacing w:after="120"/>
        <w:rPr>
          <w:b w:val="0"/>
          <w:lang w:val="en-US"/>
        </w:rPr>
      </w:pPr>
      <w:r w:rsidRPr="00A53689">
        <w:rPr>
          <w:noProof/>
          <w:w w:val="100"/>
        </w:rPr>
        <mc:AlternateContent>
          <mc:Choice Requires="wps">
            <w:drawing>
              <wp:anchor distT="0" distB="0" distL="114300" distR="114300" simplePos="0" relativeHeight="251659264" behindDoc="0" locked="0" layoutInCell="1" allowOverlap="1" wp14:anchorId="3C729E04" wp14:editId="5F4EE736">
                <wp:simplePos x="0" y="0"/>
                <wp:positionH relativeFrom="page">
                  <wp:posOffset>1356327</wp:posOffset>
                </wp:positionH>
                <wp:positionV relativeFrom="paragraph">
                  <wp:posOffset>2640965</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1C0DD2"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106.8pt,207.95pt" to="178.8pt,2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" strokecolor="#010000" strokeweight=".25pt">
                <w10:wrap anchorx="page"/>
              </v:line>
            </w:pict>
          </mc:Fallback>
        </mc:AlternateContent>
      </w:r>
      <w:r w:rsidR="0033759F" w:rsidRPr="00A53689">
        <w:rPr>
          <w:b w:val="0"/>
          <w:lang w:val="en-US"/>
        </w:rPr>
        <w:t>Contents</w:t>
      </w:r>
    </w:p>
    <w:tbl>
      <w:tblPr>
        <w:tblW w:w="9902" w:type="dxa"/>
        <w:tblLayout w:type="fixed"/>
        <w:tblCellMar>
          <w:left w:w="0" w:type="dxa"/>
          <w:right w:w="0" w:type="dxa"/>
        </w:tblCellMar>
        <w:tblLook w:val="0000" w:firstRow="0" w:lastRow="0" w:firstColumn="0" w:lastColumn="0" w:noHBand="0" w:noVBand="0"/>
      </w:tblPr>
      <w:tblGrid>
        <w:gridCol w:w="1060"/>
        <w:gridCol w:w="7315"/>
        <w:gridCol w:w="994"/>
        <w:gridCol w:w="533"/>
      </w:tblGrid>
      <w:tr w:rsidR="001E4C14" w:rsidRPr="00A53689" w14:paraId="030D394D" w14:textId="77777777" w:rsidTr="00202BBA">
        <w:tc>
          <w:tcPr>
            <w:tcW w:w="1060" w:type="dxa"/>
            <w:shd w:val="clear" w:color="auto" w:fill="auto"/>
          </w:tcPr>
          <w:p w14:paraId="62358E70" w14:textId="77777777" w:rsidR="001E4C14" w:rsidRPr="00A53689" w:rsidRDefault="001E4C14" w:rsidP="00202BBA">
            <w:pPr>
              <w:spacing w:after="120" w:line="240" w:lineRule="auto"/>
              <w:jc w:val="right"/>
              <w:rPr>
                <w:i/>
                <w:sz w:val="14"/>
              </w:rPr>
            </w:pPr>
          </w:p>
        </w:tc>
        <w:tc>
          <w:tcPr>
            <w:tcW w:w="7315" w:type="dxa"/>
            <w:shd w:val="clear" w:color="auto" w:fill="auto"/>
          </w:tcPr>
          <w:p w14:paraId="3BA64869" w14:textId="77777777" w:rsidR="001E4C14" w:rsidRPr="00A53689" w:rsidRDefault="001E4C14" w:rsidP="00202BBA">
            <w:pPr>
              <w:spacing w:after="120" w:line="240" w:lineRule="auto"/>
              <w:rPr>
                <w:i/>
                <w:sz w:val="14"/>
              </w:rPr>
            </w:pPr>
          </w:p>
        </w:tc>
        <w:tc>
          <w:tcPr>
            <w:tcW w:w="994" w:type="dxa"/>
            <w:shd w:val="clear" w:color="auto" w:fill="auto"/>
          </w:tcPr>
          <w:p w14:paraId="7534C94B" w14:textId="77777777" w:rsidR="001E4C14" w:rsidRPr="00A53689" w:rsidRDefault="001E4C14" w:rsidP="00202BBA">
            <w:pPr>
              <w:spacing w:after="120" w:line="240" w:lineRule="auto"/>
              <w:jc w:val="right"/>
              <w:rPr>
                <w:i/>
                <w:sz w:val="14"/>
              </w:rPr>
            </w:pPr>
          </w:p>
        </w:tc>
        <w:tc>
          <w:tcPr>
            <w:tcW w:w="533" w:type="dxa"/>
            <w:shd w:val="clear" w:color="auto" w:fill="auto"/>
          </w:tcPr>
          <w:p w14:paraId="051B4AB2" w14:textId="77777777" w:rsidR="001E4C14" w:rsidRPr="00A53689" w:rsidRDefault="001E4C14" w:rsidP="00202BBA">
            <w:pPr>
              <w:spacing w:after="120" w:line="240" w:lineRule="auto"/>
              <w:jc w:val="right"/>
              <w:rPr>
                <w:i/>
                <w:sz w:val="14"/>
              </w:rPr>
            </w:pPr>
            <w:r w:rsidRPr="00A53689">
              <w:rPr>
                <w:i/>
                <w:sz w:val="14"/>
              </w:rPr>
              <w:t>Page</w:t>
            </w:r>
          </w:p>
        </w:tc>
      </w:tr>
      <w:tr w:rsidR="001E4C14" w:rsidRPr="00A53689" w14:paraId="6F9AC561" w14:textId="77777777" w:rsidTr="00202BBA">
        <w:tc>
          <w:tcPr>
            <w:tcW w:w="9369" w:type="dxa"/>
            <w:gridSpan w:val="3"/>
            <w:shd w:val="clear" w:color="auto" w:fill="auto"/>
          </w:tcPr>
          <w:p w14:paraId="2D5C0003" w14:textId="77777777" w:rsidR="001E4C14" w:rsidRPr="00A53689" w:rsidRDefault="001E4C14" w:rsidP="00202BBA">
            <w:pPr>
              <w:tabs>
                <w:tab w:val="right" w:pos="1080"/>
                <w:tab w:val="left" w:pos="1296"/>
                <w:tab w:val="left" w:pos="1728"/>
                <w:tab w:val="right" w:leader="dot" w:pos="9360"/>
              </w:tabs>
              <w:spacing w:after="120"/>
              <w:ind w:left="1296"/>
              <w:rPr>
                <w:spacing w:val="60"/>
                <w:sz w:val="17"/>
              </w:rPr>
            </w:pPr>
            <w:r w:rsidRPr="00A53689">
              <w:t>Foreword</w:t>
            </w:r>
            <w:r w:rsidRPr="00A53689">
              <w:rPr>
                <w:spacing w:val="60"/>
                <w:sz w:val="17"/>
              </w:rPr>
              <w:tab/>
            </w:r>
          </w:p>
        </w:tc>
        <w:tc>
          <w:tcPr>
            <w:tcW w:w="533" w:type="dxa"/>
            <w:shd w:val="clear" w:color="auto" w:fill="auto"/>
            <w:vAlign w:val="bottom"/>
          </w:tcPr>
          <w:p w14:paraId="3D79400B" w14:textId="42B4CA31" w:rsidR="001E4C14" w:rsidRPr="00A53689" w:rsidRDefault="00D971BA" w:rsidP="00202BBA">
            <w:pPr>
              <w:spacing w:after="120"/>
              <w:jc w:val="right"/>
            </w:pPr>
            <w:r>
              <w:t>3</w:t>
            </w:r>
          </w:p>
        </w:tc>
      </w:tr>
      <w:tr w:rsidR="001E4C14" w:rsidRPr="00A53689" w14:paraId="038359CA" w14:textId="77777777" w:rsidTr="00202BBA">
        <w:tc>
          <w:tcPr>
            <w:tcW w:w="9369" w:type="dxa"/>
            <w:gridSpan w:val="3"/>
            <w:shd w:val="clear" w:color="auto" w:fill="auto"/>
          </w:tcPr>
          <w:p w14:paraId="1F92FCD9" w14:textId="0836FB38" w:rsidR="001E4C14" w:rsidRPr="00A53689" w:rsidRDefault="001E4C14" w:rsidP="00202BBA">
            <w:pPr>
              <w:numPr>
                <w:ilvl w:val="0"/>
                <w:numId w:val="27"/>
              </w:num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firstLine="202"/>
            </w:pPr>
            <w:r w:rsidRPr="00A53689">
              <w:t>Proposed programme plan for 2022 and programme performance for 2020**</w:t>
            </w:r>
            <w:r w:rsidRPr="00A53689">
              <w:rPr>
                <w:spacing w:val="60"/>
                <w:sz w:val="17"/>
              </w:rPr>
              <w:tab/>
            </w:r>
          </w:p>
        </w:tc>
        <w:tc>
          <w:tcPr>
            <w:tcW w:w="533" w:type="dxa"/>
            <w:shd w:val="clear" w:color="auto" w:fill="auto"/>
            <w:vAlign w:val="bottom"/>
          </w:tcPr>
          <w:p w14:paraId="64FAC5CE" w14:textId="45743AC4" w:rsidR="001E4C14" w:rsidRPr="00A53689" w:rsidRDefault="00D971BA" w:rsidP="00202BBA">
            <w:pPr>
              <w:spacing w:after="120"/>
              <w:jc w:val="right"/>
            </w:pPr>
            <w:r>
              <w:t>4</w:t>
            </w:r>
          </w:p>
        </w:tc>
      </w:tr>
      <w:tr w:rsidR="001E4C14" w:rsidRPr="00A53689" w14:paraId="30260345" w14:textId="77777777" w:rsidTr="00202BBA">
        <w:tc>
          <w:tcPr>
            <w:tcW w:w="9369" w:type="dxa"/>
            <w:gridSpan w:val="3"/>
            <w:shd w:val="clear" w:color="auto" w:fill="auto"/>
          </w:tcPr>
          <w:p w14:paraId="40682644" w14:textId="6352111B" w:rsidR="001E4C14" w:rsidRPr="00A53689" w:rsidRDefault="001E4C14" w:rsidP="00202BBA">
            <w:pPr>
              <w:numPr>
                <w:ilvl w:val="0"/>
                <w:numId w:val="27"/>
              </w:numPr>
              <w:tabs>
                <w:tab w:val="right" w:pos="1080"/>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right" w:leader="dot" w:pos="9360"/>
              </w:tabs>
              <w:spacing w:after="120"/>
              <w:ind w:firstLine="202"/>
            </w:pPr>
            <w:r w:rsidRPr="00A53689">
              <w:t>Proposed post and non-post resource requirements for 2022***</w:t>
            </w:r>
            <w:r w:rsidRPr="00A53689">
              <w:rPr>
                <w:spacing w:val="60"/>
                <w:sz w:val="17"/>
              </w:rPr>
              <w:tab/>
            </w:r>
          </w:p>
        </w:tc>
        <w:tc>
          <w:tcPr>
            <w:tcW w:w="533" w:type="dxa"/>
            <w:shd w:val="clear" w:color="auto" w:fill="auto"/>
            <w:vAlign w:val="bottom"/>
          </w:tcPr>
          <w:p w14:paraId="7690E820" w14:textId="5B4D9266" w:rsidR="001E4C14" w:rsidRPr="00A53689" w:rsidRDefault="00D971BA" w:rsidP="00202BBA">
            <w:pPr>
              <w:spacing w:after="120"/>
              <w:jc w:val="right"/>
            </w:pPr>
            <w:r>
              <w:t>44</w:t>
            </w:r>
          </w:p>
        </w:tc>
      </w:tr>
      <w:tr w:rsidR="001E4C14" w:rsidRPr="00A53689" w14:paraId="51D0D5B6" w14:textId="77777777" w:rsidTr="00202BBA">
        <w:tc>
          <w:tcPr>
            <w:tcW w:w="9369" w:type="dxa"/>
            <w:gridSpan w:val="3"/>
            <w:shd w:val="clear" w:color="auto" w:fill="auto"/>
          </w:tcPr>
          <w:p w14:paraId="3D583A6B" w14:textId="77777777" w:rsidR="001E4C14" w:rsidRPr="00A53689" w:rsidRDefault="001E4C14" w:rsidP="00202BBA">
            <w:pPr>
              <w:tabs>
                <w:tab w:val="right" w:pos="1080"/>
                <w:tab w:val="left" w:pos="1296"/>
                <w:tab w:val="left" w:pos="1728"/>
                <w:tab w:val="right" w:leader="dot" w:pos="9360"/>
              </w:tabs>
              <w:spacing w:after="120"/>
              <w:ind w:left="1296"/>
              <w:rPr>
                <w:spacing w:val="60"/>
                <w:sz w:val="17"/>
              </w:rPr>
            </w:pPr>
            <w:r w:rsidRPr="00A53689">
              <w:tab/>
              <w:t>Annexes</w:t>
            </w:r>
          </w:p>
        </w:tc>
        <w:tc>
          <w:tcPr>
            <w:tcW w:w="533" w:type="dxa"/>
            <w:shd w:val="clear" w:color="auto" w:fill="auto"/>
            <w:vAlign w:val="bottom"/>
          </w:tcPr>
          <w:p w14:paraId="7CC5F83A" w14:textId="77777777" w:rsidR="001E4C14" w:rsidRPr="00A53689" w:rsidRDefault="001E4C14" w:rsidP="00202BBA">
            <w:pPr>
              <w:spacing w:after="120"/>
              <w:jc w:val="right"/>
            </w:pPr>
          </w:p>
        </w:tc>
      </w:tr>
      <w:tr w:rsidR="001E4C14" w:rsidRPr="00A53689" w14:paraId="4AF44584" w14:textId="77777777" w:rsidTr="00202BBA">
        <w:tc>
          <w:tcPr>
            <w:tcW w:w="9369" w:type="dxa"/>
            <w:gridSpan w:val="3"/>
            <w:shd w:val="clear" w:color="auto" w:fill="auto"/>
          </w:tcPr>
          <w:p w14:paraId="53A37EB5" w14:textId="34F54873" w:rsidR="001E4C14" w:rsidRPr="00A53689" w:rsidRDefault="001E4C14" w:rsidP="00202BBA">
            <w:pPr>
              <w:numPr>
                <w:ilvl w:val="0"/>
                <w:numId w:val="28"/>
              </w:numPr>
              <w:tabs>
                <w:tab w:val="right" w:pos="1080"/>
                <w:tab w:val="left" w:pos="1296"/>
                <w:tab w:val="left" w:pos="1728"/>
                <w:tab w:val="left" w:pos="2070"/>
                <w:tab w:val="right" w:leader="dot" w:pos="9360"/>
              </w:tabs>
              <w:spacing w:after="120"/>
            </w:pPr>
            <w:r w:rsidRPr="00A53689">
              <w:tab/>
              <w:t>Organizational structure and post distribution for 2022</w:t>
            </w:r>
            <w:r w:rsidRPr="00A53689">
              <w:rPr>
                <w:spacing w:val="60"/>
                <w:sz w:val="17"/>
              </w:rPr>
              <w:tab/>
            </w:r>
          </w:p>
        </w:tc>
        <w:tc>
          <w:tcPr>
            <w:tcW w:w="533" w:type="dxa"/>
            <w:shd w:val="clear" w:color="auto" w:fill="auto"/>
            <w:vAlign w:val="bottom"/>
          </w:tcPr>
          <w:p w14:paraId="4240CC8E" w14:textId="06B1A183" w:rsidR="001E4C14" w:rsidRPr="00A53689" w:rsidRDefault="00D971BA" w:rsidP="00202BBA">
            <w:pPr>
              <w:spacing w:after="120"/>
              <w:jc w:val="right"/>
            </w:pPr>
            <w:r>
              <w:t>67</w:t>
            </w:r>
          </w:p>
        </w:tc>
      </w:tr>
      <w:tr w:rsidR="001E4C14" w:rsidRPr="00A53689" w14:paraId="3DF86CA1" w14:textId="77777777" w:rsidTr="00202BBA">
        <w:tc>
          <w:tcPr>
            <w:tcW w:w="9369" w:type="dxa"/>
            <w:gridSpan w:val="3"/>
            <w:shd w:val="clear" w:color="auto" w:fill="auto"/>
          </w:tcPr>
          <w:p w14:paraId="181BC24E" w14:textId="3BB52E40" w:rsidR="001E4C14" w:rsidRPr="00A53689" w:rsidRDefault="001E4C14" w:rsidP="00202BBA">
            <w:pPr>
              <w:numPr>
                <w:ilvl w:val="0"/>
                <w:numId w:val="28"/>
              </w:numPr>
              <w:tabs>
                <w:tab w:val="right" w:pos="1080"/>
                <w:tab w:val="left" w:pos="1296"/>
                <w:tab w:val="left" w:pos="1728"/>
                <w:tab w:val="left" w:pos="2070"/>
                <w:tab w:val="right" w:leader="dot" w:pos="9360"/>
              </w:tabs>
              <w:spacing w:after="120"/>
              <w:ind w:left="2070" w:hanging="198"/>
            </w:pPr>
            <w:r w:rsidRPr="00A53689">
              <w:tab/>
              <w:t>Summary of follow-up actions taken to implement relevant recommendations of oversight bodies</w:t>
            </w:r>
            <w:r w:rsidRPr="00A53689">
              <w:rPr>
                <w:spacing w:val="60"/>
                <w:sz w:val="17"/>
              </w:rPr>
              <w:tab/>
            </w:r>
          </w:p>
        </w:tc>
        <w:tc>
          <w:tcPr>
            <w:tcW w:w="533" w:type="dxa"/>
            <w:shd w:val="clear" w:color="auto" w:fill="auto"/>
            <w:vAlign w:val="bottom"/>
          </w:tcPr>
          <w:p w14:paraId="7BF9ECA5" w14:textId="4479221A" w:rsidR="001E4C14" w:rsidRPr="00A53689" w:rsidRDefault="00D971BA" w:rsidP="00202BBA">
            <w:pPr>
              <w:spacing w:after="120"/>
              <w:jc w:val="right"/>
            </w:pPr>
            <w:r>
              <w:t>68</w:t>
            </w:r>
          </w:p>
        </w:tc>
      </w:tr>
      <w:tr w:rsidR="001E4C14" w:rsidRPr="00A53689" w14:paraId="21F7A8B9" w14:textId="77777777" w:rsidTr="00202BBA">
        <w:tc>
          <w:tcPr>
            <w:tcW w:w="9369" w:type="dxa"/>
            <w:gridSpan w:val="3"/>
            <w:shd w:val="clear" w:color="auto" w:fill="auto"/>
          </w:tcPr>
          <w:p w14:paraId="7E6C2B89" w14:textId="3DC7086F" w:rsidR="001E4C14" w:rsidRPr="00A53689" w:rsidRDefault="001E4C14" w:rsidP="00A53689">
            <w:pPr>
              <w:numPr>
                <w:ilvl w:val="0"/>
                <w:numId w:val="28"/>
              </w:numPr>
              <w:tabs>
                <w:tab w:val="right" w:pos="1080"/>
                <w:tab w:val="left" w:pos="1296"/>
                <w:tab w:val="left" w:pos="1728"/>
                <w:tab w:val="left" w:pos="2070"/>
                <w:tab w:val="right" w:leader="dot" w:pos="9360"/>
              </w:tabs>
              <w:spacing w:after="120"/>
              <w:ind w:left="2070" w:hanging="198"/>
            </w:pPr>
            <w:r w:rsidRPr="00A53689">
              <w:tab/>
              <w:t>Summary of proposed post changes, by component and subprogramme</w:t>
            </w:r>
            <w:r w:rsidRPr="00A53689">
              <w:rPr>
                <w:spacing w:val="60"/>
                <w:sz w:val="17"/>
              </w:rPr>
              <w:tab/>
            </w:r>
          </w:p>
        </w:tc>
        <w:tc>
          <w:tcPr>
            <w:tcW w:w="533" w:type="dxa"/>
            <w:shd w:val="clear" w:color="auto" w:fill="auto"/>
            <w:vAlign w:val="bottom"/>
          </w:tcPr>
          <w:p w14:paraId="16CF18D0" w14:textId="7A8F04C4" w:rsidR="001E4C14" w:rsidRPr="00A53689" w:rsidRDefault="00D971BA" w:rsidP="00A53689">
            <w:pPr>
              <w:spacing w:after="120"/>
              <w:jc w:val="right"/>
            </w:pPr>
            <w:r>
              <w:t>69</w:t>
            </w:r>
          </w:p>
        </w:tc>
      </w:tr>
    </w:tbl>
    <w:p w14:paraId="1FBDB789" w14:textId="77777777" w:rsidR="0033759F" w:rsidRPr="00A53689" w:rsidRDefault="0033759F" w:rsidP="0033759F"/>
    <w:p w14:paraId="1A2816B2" w14:textId="77777777" w:rsidR="0033759F" w:rsidRPr="00A53689" w:rsidRDefault="0033759F" w:rsidP="0033759F">
      <w:pPr>
        <w:pStyle w:val="SingleTxt"/>
        <w:rPr>
          <w:lang w:val="en-US"/>
        </w:rPr>
        <w:sectPr w:rsidR="0033759F" w:rsidRPr="00A53689" w:rsidSect="0033759F">
          <w:endnotePr>
            <w:numFmt w:val="decimal"/>
          </w:endnotePr>
          <w:type w:val="continuous"/>
          <w:pgSz w:w="12240" w:h="15840"/>
          <w:pgMar w:top="1440" w:right="1200" w:bottom="1152" w:left="1200" w:header="432" w:footer="504" w:gutter="0"/>
          <w:cols w:space="720"/>
          <w:noEndnote/>
          <w:titlePg/>
          <w:docGrid w:linePitch="360"/>
        </w:sectPr>
      </w:pPr>
    </w:p>
    <w:p w14:paraId="6B80C93A" w14:textId="6CEFBBAB" w:rsidR="00914824" w:rsidRPr="00A53689" w:rsidRDefault="00914824" w:rsidP="00914824">
      <w:pPr>
        <w:pStyle w:val="HCh"/>
        <w:ind w:left="1267" w:right="1260" w:hanging="1267"/>
        <w:rPr>
          <w:lang w:val="en-US"/>
        </w:rPr>
      </w:pPr>
      <w:r w:rsidRPr="00A53689">
        <w:rPr>
          <w:lang w:val="en-US"/>
        </w:rPr>
        <w:lastRenderedPageBreak/>
        <w:t>Foreword</w:t>
      </w:r>
    </w:p>
    <w:p w14:paraId="46B4A38A" w14:textId="0662344E" w:rsidR="00914824" w:rsidRPr="00A53689" w:rsidRDefault="00914824"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007D3BC1" w14:textId="5F69FD0E" w:rsidR="00914824" w:rsidRPr="00A53689" w:rsidRDefault="00914824"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6FC2CF09" w14:textId="6954791B" w:rsidR="00914824" w:rsidRPr="00A53689" w:rsidRDefault="00914824" w:rsidP="00914824">
      <w:pPr>
        <w:suppressAutoHyphens w:val="0"/>
        <w:spacing w:after="200" w:line="234" w:lineRule="exact"/>
        <w:jc w:val="both"/>
      </w:pPr>
      <w:r w:rsidRPr="00A53689">
        <w:tab/>
        <w:t>The United Nations Human Settlements Programme (UN-Habitat) is entrusted with supporting Member States and other key stakeholders in addressing the many challenges of sustainable urbanization. This includes the achievement of the Sustainable Development Goals and the implementation of the New Urban Agenda to ensure the widest possible participation in the social, economic and environmental benefits brought by sustainable urban development. The coronavirus disease (COVID-19) pandemic has laid bare, and indeed heightened, both the challenges and the opportunities associated with the remarkable growth of cities. More than ever, a rights-based approach is needed to protect people, prosperity and planet.</w:t>
      </w:r>
    </w:p>
    <w:p w14:paraId="152D45E1" w14:textId="77777777" w:rsidR="00914824" w:rsidRPr="00A53689" w:rsidRDefault="00914824" w:rsidP="00914824">
      <w:pPr>
        <w:suppressAutoHyphens w:val="0"/>
        <w:spacing w:after="200" w:line="234" w:lineRule="exact"/>
        <w:jc w:val="both"/>
      </w:pPr>
      <w:r w:rsidRPr="00A53689">
        <w:rPr>
          <w:lang w:val="en-US"/>
        </w:rPr>
        <w:tab/>
      </w:r>
      <w:r w:rsidRPr="00A53689">
        <w:t>The present document sets out the programme of work for UN-Habitat for 2022, demonstrating the capacity of the agency to adjust to these evolving conditions and the related economic crisis. The implementation of the strategic plan for the period 2020–2023 continues to reflect our renewed vision, focusing on impact and the achievement of the Sustainable Development Goals.</w:t>
      </w:r>
    </w:p>
    <w:p w14:paraId="6658BB43" w14:textId="177FC36F" w:rsidR="00914824" w:rsidRPr="00A53689" w:rsidRDefault="00914824" w:rsidP="00914824">
      <w:pPr>
        <w:suppressAutoHyphens w:val="0"/>
        <w:spacing w:after="200" w:line="234" w:lineRule="exact"/>
        <w:jc w:val="both"/>
      </w:pPr>
      <w:r w:rsidRPr="00A53689">
        <w:tab/>
        <w:t>The 2020 UN-Habitat flagship</w:t>
      </w:r>
      <w:r w:rsidR="00D900EB" w:rsidRPr="00A53689">
        <w:t xml:space="preserve"> </w:t>
      </w:r>
      <w:r w:rsidR="00D900EB" w:rsidRPr="00A53689">
        <w:rPr>
          <w:i/>
          <w:iCs/>
        </w:rPr>
        <w:t>W</w:t>
      </w:r>
      <w:r w:rsidRPr="00A53689">
        <w:rPr>
          <w:i/>
          <w:iCs/>
        </w:rPr>
        <w:t>orld Cities Report 2020: The Value of Sustainable Urbanization</w:t>
      </w:r>
      <w:r w:rsidRPr="00A53689">
        <w:t>, clarifies the intrinsic value of cities with regard to generating economic prosperity, mitigating environmental degradation, reducing social inequality and building stronger institutions. This supports the Secretary-General</w:t>
      </w:r>
      <w:r w:rsidR="000065AA" w:rsidRPr="00A53689">
        <w:t>’</w:t>
      </w:r>
      <w:r w:rsidRPr="00A53689">
        <w:t xml:space="preserve">s policy brief on COVID-19 in an urban world (July 2020). The 2022 programme of work prioritizes strategic support and guidance to countries and cities recovering from the COVID-19 pandemic. It provides evidence-based support to prepare urban development plans and actions for greater institutional coherence and effectiveness, with better coordination mechanisms and appropriate monitoring tools. The programme of work is the road map to respond to the most pressing challenges and allow recipient communities to participate fully and benefit from the social, economic and environmental gains of the sustainable urban agenda. </w:t>
      </w:r>
    </w:p>
    <w:p w14:paraId="3ECA9148" w14:textId="095285C2" w:rsidR="00914824" w:rsidRPr="00A53689" w:rsidRDefault="00914824" w:rsidP="00914824">
      <w:pPr>
        <w:suppressAutoHyphens w:val="0"/>
        <w:spacing w:after="200" w:line="234" w:lineRule="exact"/>
        <w:jc w:val="both"/>
      </w:pPr>
      <w:r w:rsidRPr="00A53689">
        <w:tab/>
        <w:t>Based on the first year of implementation of the strategic plan for the period 2020–2023, UN-Habitat has been able to refine its catalytic functions, advance in the creation of innovative urban solutions and ideas, strengthen strategic partnerships and deliver more focused interventions. Owing to having to adapt to COVID-19 and locked down economies, not all targets were reached last year. The programme received less in voluntary resources, partly due to the impact of COVID-19, causing delays in implementation; as a result, some key targets were missed. UN</w:t>
      </w:r>
      <w:r w:rsidR="00D900EB" w:rsidRPr="00A53689">
        <w:noBreakHyphen/>
      </w:r>
      <w:r w:rsidRPr="00A53689">
        <w:t>Habitat has produced publications and technical materials, through its earmarked funding and in line with donor intent, at the country and regional levels. This work will form a good basis for strengthening the global normative work. UN-Habitat has also initiated the implementation of flagship programmes that aim to strengthen the delivery capacity and efficiency of the strategic plan and the current portfolio. These programmes consolidate and refine existing initiatives with targeted interventions and mechanisms to engage with Governments and partners, resulting in effective vehicles to reinforce integration of our normative and operational work for higher efficiency and impact.</w:t>
      </w:r>
    </w:p>
    <w:p w14:paraId="00250084" w14:textId="77777777" w:rsidR="00914824" w:rsidRPr="00A53689" w:rsidRDefault="00914824" w:rsidP="00914824">
      <w:pPr>
        <w:suppressAutoHyphens w:val="0"/>
        <w:spacing w:after="200" w:line="234" w:lineRule="exact"/>
        <w:jc w:val="both"/>
      </w:pPr>
      <w:r w:rsidRPr="00A53689">
        <w:rPr>
          <w:lang w:val="en-US"/>
        </w:rPr>
        <w:tab/>
      </w:r>
      <w:r w:rsidRPr="00A53689">
        <w:t xml:space="preserve">The programme of work for 2022 is key to coordinating these actions and achieving the best results. Financial resources commensurate with the ambition and deliverables proposed by this programme are needed to adequately respond to multiple urbanization challenges. It is only in this way that UN-Habitat will fulfil the objective to become a centre of excellence and innovation with the capacity to set the global discourse and agenda on sustainable urban development, generate specialized cutting-edge knowledge, shape technical norms, principles and standards, and propose innovative solutions to build a sustainable future for all. </w:t>
      </w:r>
    </w:p>
    <w:p w14:paraId="2691841F" w14:textId="375567F7" w:rsidR="00914824" w:rsidRPr="00A53689" w:rsidRDefault="00914824" w:rsidP="00914824">
      <w:pPr>
        <w:suppressAutoHyphens w:val="0"/>
        <w:spacing w:line="120" w:lineRule="exact"/>
        <w:jc w:val="both"/>
        <w:rPr>
          <w:sz w:val="10"/>
        </w:rPr>
      </w:pPr>
    </w:p>
    <w:p w14:paraId="628234DD" w14:textId="3832DCB9" w:rsidR="00914824" w:rsidRPr="00A53689" w:rsidRDefault="00914824" w:rsidP="00914824">
      <w:pPr>
        <w:suppressAutoHyphens w:val="0"/>
        <w:spacing w:line="120" w:lineRule="exact"/>
        <w:jc w:val="both"/>
        <w:rPr>
          <w:sz w:val="10"/>
        </w:rPr>
      </w:pPr>
    </w:p>
    <w:p w14:paraId="3B28B5F2" w14:textId="77777777" w:rsidR="00914824" w:rsidRPr="00A53689" w:rsidRDefault="00914824"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hanging="1267"/>
        <w:jc w:val="right"/>
        <w:rPr>
          <w:lang w:val="en-US"/>
        </w:rPr>
      </w:pPr>
      <w:r w:rsidRPr="00A53689">
        <w:rPr>
          <w:lang w:val="en-US"/>
        </w:rPr>
        <w:t>(</w:t>
      </w:r>
      <w:r w:rsidRPr="00A53689">
        <w:rPr>
          <w:i/>
          <w:iCs/>
          <w:lang w:val="en-US"/>
        </w:rPr>
        <w:t>Signed</w:t>
      </w:r>
      <w:r w:rsidRPr="00A53689">
        <w:rPr>
          <w:lang w:val="en-US"/>
        </w:rPr>
        <w:t xml:space="preserve">) Maimunah </w:t>
      </w:r>
      <w:r w:rsidRPr="00A53689">
        <w:rPr>
          <w:b/>
          <w:bCs/>
          <w:lang w:val="en-US"/>
        </w:rPr>
        <w:t>Mohd Sharif</w:t>
      </w:r>
    </w:p>
    <w:p w14:paraId="7B376BA2" w14:textId="77777777" w:rsidR="00914824" w:rsidRPr="00A53689" w:rsidRDefault="00914824"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hanging="1267"/>
        <w:jc w:val="right"/>
        <w:rPr>
          <w:lang w:val="en-US"/>
        </w:rPr>
        <w:sectPr w:rsidR="00914824" w:rsidRPr="00A53689" w:rsidSect="0033759F">
          <w:headerReference w:type="even" r:id="rId22"/>
          <w:headerReference w:type="default" r:id="rId23"/>
          <w:headerReference w:type="first" r:id="rId24"/>
          <w:footerReference w:type="first" r:id="rId25"/>
          <w:endnotePr>
            <w:numFmt w:val="decimal"/>
          </w:endnotePr>
          <w:type w:val="oddPage"/>
          <w:pgSz w:w="12240" w:h="15840"/>
          <w:pgMar w:top="1440" w:right="1195" w:bottom="1152" w:left="1195" w:header="432" w:footer="504" w:gutter="0"/>
          <w:cols w:space="720"/>
          <w:noEndnote/>
          <w:titlePg/>
          <w:docGrid w:linePitch="360"/>
        </w:sectPr>
      </w:pPr>
      <w:r w:rsidRPr="00A53689">
        <w:rPr>
          <w:lang w:val="en-US"/>
        </w:rPr>
        <w:t>Executive Director, United Nations Human Settlements Programme</w:t>
      </w:r>
    </w:p>
    <w:p w14:paraId="2A800EC1" w14:textId="764A57B5" w:rsidR="00914824" w:rsidRPr="00A53689" w:rsidRDefault="00D900EB" w:rsidP="00D900EB">
      <w:pPr>
        <w:pStyle w:val="HCh"/>
        <w:ind w:left="1267" w:right="220" w:hanging="1267"/>
        <w:rPr>
          <w:lang w:val="en-US"/>
        </w:rPr>
      </w:pPr>
      <w:r w:rsidRPr="00A53689">
        <w:rPr>
          <w:lang w:val="en-US"/>
        </w:rPr>
        <w:lastRenderedPageBreak/>
        <w:tab/>
      </w:r>
      <w:r w:rsidR="00914824" w:rsidRPr="00A53689">
        <w:rPr>
          <w:lang w:val="en-US"/>
        </w:rPr>
        <w:t>A.</w:t>
      </w:r>
      <w:r w:rsidR="00914824" w:rsidRPr="00A53689">
        <w:rPr>
          <w:lang w:val="en-US"/>
        </w:rPr>
        <w:tab/>
        <w:t>Proposed programme plan for 2022 and programme performance for 2020</w:t>
      </w:r>
    </w:p>
    <w:p w14:paraId="0DC2C88D" w14:textId="001CE778" w:rsidR="00914824" w:rsidRPr="00A53689" w:rsidRDefault="00914824"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6FE8A767" w14:textId="4B6B1F31" w:rsidR="00D900EB" w:rsidRPr="00A53689" w:rsidRDefault="00D900EB"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5177BA11" w14:textId="77777777" w:rsidR="00914824" w:rsidRPr="00A53689" w:rsidRDefault="00914824" w:rsidP="002602D3">
      <w:pPr>
        <w:pStyle w:val="HCh"/>
        <w:ind w:left="1267" w:right="1260" w:hanging="1267"/>
        <w:rPr>
          <w:lang w:val="en-US"/>
        </w:rPr>
      </w:pPr>
      <w:r w:rsidRPr="00A53689">
        <w:rPr>
          <w:lang w:val="en-US"/>
        </w:rPr>
        <w:tab/>
      </w:r>
      <w:r w:rsidRPr="00A53689">
        <w:rPr>
          <w:lang w:val="en-US"/>
        </w:rPr>
        <w:tab/>
        <w:t>Overall orientation</w:t>
      </w:r>
    </w:p>
    <w:p w14:paraId="7929FF48" w14:textId="05BBC42D" w:rsidR="00914824" w:rsidRPr="00A53689" w:rsidRDefault="00914824"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0F61A886" w14:textId="308ADCAB" w:rsidR="00D900EB" w:rsidRPr="00A53689" w:rsidRDefault="00D900EB"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5B8D5B7B" w14:textId="77777777" w:rsidR="00914824" w:rsidRPr="00A53689" w:rsidRDefault="00914824" w:rsidP="00D900EB">
      <w:pPr>
        <w:pStyle w:val="H1"/>
        <w:ind w:right="1260"/>
        <w:rPr>
          <w:lang w:val="en-US"/>
        </w:rPr>
      </w:pPr>
      <w:r w:rsidRPr="00A53689">
        <w:rPr>
          <w:lang w:val="en-US"/>
        </w:rPr>
        <w:tab/>
      </w:r>
      <w:r w:rsidRPr="00A53689">
        <w:rPr>
          <w:lang w:val="en-US"/>
        </w:rPr>
        <w:tab/>
        <w:t>Mandates and background</w:t>
      </w:r>
    </w:p>
    <w:p w14:paraId="58FB7737" w14:textId="234F1F25" w:rsidR="00914824" w:rsidRPr="00A53689" w:rsidRDefault="00914824"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2D6A8EA8" w14:textId="6BEF900E" w:rsidR="00D900EB" w:rsidRPr="00A53689" w:rsidRDefault="00D900EB"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42196AA6" w14:textId="24766E2A" w:rsidR="00914824" w:rsidRPr="00A53689" w:rsidRDefault="00D900EB"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w:t>
      </w:r>
      <w:r w:rsidR="00914824" w:rsidRPr="00A53689">
        <w:rPr>
          <w:lang w:val="en-US"/>
        </w:rPr>
        <w:tab/>
        <w:t xml:space="preserve">The United Nations Human Settlements Programme (UN-Habitat) is responsible for sustainable urbanization and human settlements in the United Nations system. It supports Member States in the development of sustainable cities and human settlements through its normative and operational work at the global, regional, national and local levels. UN-Habitat also leads and coordinates the monitoring of and reporting on global progress in the implementation of the New Urban Agenda and Sustainable Development Goal 11. The mandate derives from priorities established by General Assembly resolutions and decisions, including resolution </w:t>
      </w:r>
      <w:hyperlink r:id="rId26" w:history="1">
        <w:r w:rsidR="00914824" w:rsidRPr="00A53689">
          <w:rPr>
            <w:rStyle w:val="Hyperlink"/>
            <w:lang w:val="en-US"/>
          </w:rPr>
          <w:t>3327 (XXIX)</w:t>
        </w:r>
      </w:hyperlink>
      <w:r w:rsidR="00914824" w:rsidRPr="00A53689">
        <w:rPr>
          <w:lang w:val="en-US"/>
        </w:rPr>
        <w:t xml:space="preserve">, by which the Assembly established the United Nations Habitat and Human Settlements Foundation, and resolution </w:t>
      </w:r>
      <w:hyperlink r:id="rId27" w:history="1">
        <w:r w:rsidR="00914824" w:rsidRPr="00A53689">
          <w:rPr>
            <w:rStyle w:val="Hyperlink"/>
            <w:lang w:val="en-US"/>
          </w:rPr>
          <w:t>32/162</w:t>
        </w:r>
      </w:hyperlink>
      <w:r w:rsidR="00914824" w:rsidRPr="00A53689">
        <w:rPr>
          <w:lang w:val="en-US"/>
        </w:rPr>
        <w:t xml:space="preserve">, by which the Assembly established the United Nations Centre for Human Settlements (Habitat). The Assembly, through its resolution </w:t>
      </w:r>
      <w:hyperlink r:id="rId28" w:history="1">
        <w:r w:rsidR="00914824" w:rsidRPr="00A53689">
          <w:rPr>
            <w:rStyle w:val="Hyperlink"/>
            <w:lang w:val="en-US"/>
          </w:rPr>
          <w:t>56/206</w:t>
        </w:r>
      </w:hyperlink>
      <w:r w:rsidR="00914824" w:rsidRPr="00A53689">
        <w:rPr>
          <w:lang w:val="en-US"/>
        </w:rPr>
        <w:t xml:space="preserve">, transformed it to the United Nations Human Settlements Programme (UN-Habitat), effective 1 January 2002. The Assembly, through its resolution </w:t>
      </w:r>
      <w:hyperlink r:id="rId29" w:history="1">
        <w:r w:rsidR="00914824" w:rsidRPr="00A53689">
          <w:rPr>
            <w:rStyle w:val="Hyperlink"/>
            <w:lang w:val="en-US"/>
          </w:rPr>
          <w:t>73/239</w:t>
        </w:r>
      </w:hyperlink>
      <w:r w:rsidR="00914824" w:rsidRPr="00A53689">
        <w:rPr>
          <w:lang w:val="en-US"/>
        </w:rPr>
        <w:t>, established a new governance structure for the Programme, consisting of the universal UN-Habitat Assembly, the 36-member Executive Board and the Committee of Permanent Representatives.</w:t>
      </w:r>
    </w:p>
    <w:p w14:paraId="641D2AD5" w14:textId="141CF61C" w:rsidR="00914824" w:rsidRPr="00A53689" w:rsidRDefault="00D900EB"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15.2</w:t>
      </w:r>
      <w:r w:rsidR="00914824" w:rsidRPr="00A53689">
        <w:rPr>
          <w:lang w:val="en-US"/>
        </w:rPr>
        <w:tab/>
        <w:t>The Programme</w:t>
      </w:r>
      <w:r w:rsidR="000065AA" w:rsidRPr="00A53689">
        <w:rPr>
          <w:lang w:val="en-US"/>
        </w:rPr>
        <w:t>’</w:t>
      </w:r>
      <w:r w:rsidR="00914824" w:rsidRPr="00A53689">
        <w:rPr>
          <w:lang w:val="en-US"/>
        </w:rPr>
        <w:t>s support is aimed at developing the capacity at all levels of government and other key stakeholders to formulate and implement policies, plans and concrete activities for sustainable urban development through the implementation of the regular programme of technical cooperation and United Nations Development Account projects.</w:t>
      </w:r>
    </w:p>
    <w:p w14:paraId="26F392A8" w14:textId="694E06FA" w:rsidR="00D900EB" w:rsidRPr="00A53689" w:rsidRDefault="00D900EB"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716E9DC0" w14:textId="3BA6D566" w:rsidR="00D900EB" w:rsidRPr="00A53689" w:rsidRDefault="00D900EB"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1D418A2F" w14:textId="77777777" w:rsidR="00914824" w:rsidRPr="00A53689" w:rsidRDefault="00914824" w:rsidP="00D900EB">
      <w:pPr>
        <w:pStyle w:val="H1"/>
        <w:ind w:right="1260"/>
        <w:rPr>
          <w:lang w:val="en-US"/>
        </w:rPr>
      </w:pPr>
      <w:r w:rsidRPr="00A53689">
        <w:rPr>
          <w:lang w:val="en-US"/>
        </w:rPr>
        <w:tab/>
      </w:r>
      <w:r w:rsidRPr="00A53689">
        <w:rPr>
          <w:lang w:val="en-US"/>
        </w:rPr>
        <w:tab/>
        <w:t>Strategy and external factors for 2022</w:t>
      </w:r>
    </w:p>
    <w:p w14:paraId="765EF17B" w14:textId="4A7E9A3F" w:rsidR="00914824" w:rsidRPr="00A53689" w:rsidRDefault="00914824"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75F04CFB" w14:textId="1EC6412E" w:rsidR="00D900EB" w:rsidRPr="00A53689" w:rsidRDefault="00D900EB"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3362F5AB" w14:textId="6450971A" w:rsidR="00914824" w:rsidRPr="00A53689" w:rsidRDefault="00D900EB"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15.3</w:t>
      </w:r>
      <w:r w:rsidR="00914824" w:rsidRPr="00A53689">
        <w:rPr>
          <w:lang w:val="en-US"/>
        </w:rPr>
        <w:tab/>
        <w:t xml:space="preserve">Globally, 56 per cent of the population lives in cities. This share is expected to rise to 70 per cent by 2050, continuing to make urbanization one of the most significant trends of the twenty-first century. Regional and sociopolitical disparities continue to influence who benefits from urbanization. However, some 90 per cent of urban growth is taking place in less developed regions, where it is largely unplanned and capacities and resources are most constrained, while in other parts of the world many cities are experiencing negative growth and shrinking populations. Unplanned urban growth fuels the expansion of informal settlements and slums, resulting in an increase in urban poverty, inequality and lack of adequate and affordable housing. Globally, more than 1.6 billion people live in inadequate housing and more than 1 billion live in slums and informal settlements. Of significance to the programme of work are the estimated 763 million internal migrants and 224 million international migrants in 2019, most of whom live in urban areas, often under difficult conditions. </w:t>
      </w:r>
    </w:p>
    <w:p w14:paraId="76776FDE" w14:textId="2C791CC0" w:rsidR="00914824" w:rsidRPr="00A53689" w:rsidRDefault="00D900EB"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15.4</w:t>
      </w:r>
      <w:r w:rsidR="00914824" w:rsidRPr="00A53689">
        <w:rPr>
          <w:lang w:val="en-US"/>
        </w:rPr>
        <w:tab/>
        <w:t>High levels</w:t>
      </w:r>
      <w:r w:rsidRPr="00A53689">
        <w:rPr>
          <w:lang w:val="en-US"/>
        </w:rPr>
        <w:t xml:space="preserve"> o</w:t>
      </w:r>
      <w:r w:rsidR="00914824" w:rsidRPr="00A53689">
        <w:rPr>
          <w:lang w:val="en-US"/>
        </w:rPr>
        <w:t>f inequality and exclusion are persistent trends in urban areas;</w:t>
      </w:r>
      <w:r w:rsidRPr="00A53689">
        <w:rPr>
          <w:lang w:val="en-US"/>
        </w:rPr>
        <w:t xml:space="preserve"> i</w:t>
      </w:r>
      <w:r w:rsidR="00914824" w:rsidRPr="00A53689">
        <w:rPr>
          <w:lang w:val="en-US"/>
        </w:rPr>
        <w:t>ncome inequality has increased in urban areas for more than two thirds of the world</w:t>
      </w:r>
      <w:r w:rsidR="000065AA" w:rsidRPr="00A53689">
        <w:rPr>
          <w:lang w:val="en-US"/>
        </w:rPr>
        <w:t>’</w:t>
      </w:r>
      <w:r w:rsidR="00914824" w:rsidRPr="00A53689">
        <w:rPr>
          <w:lang w:val="en-US"/>
        </w:rPr>
        <w:t xml:space="preserve">s population since 1980. This widening gap means that some 2.9 billion people are living in cities, both in the developed and the developing world, where income inequalities are more pronounced than they were a generation ago. Cities are also hot spots for environmental and energy challenges, accounting for 60 to 80 per cent of global energy consumption, 70 per cent of global carbon emissions and more than 70 per cent of resource use. The urban poor, living in risk-prone and underserviced areas, suffer the worst consequences of climate change-related disasters and natural and human-made crises and conflicts. The coronavirus disease (COVID-19) pandemic has exacerbated the systemic inequalities that exist across territories and urban areas, where the urban poor are disproportionately affected due to crowded and underserviced environments. While urban areas have been the epicentre of the pandemic, this has equally demonstrated that cities are hubs of resilience and innovation. UN-Habitat will prioritize </w:t>
      </w:r>
      <w:r w:rsidR="00914824" w:rsidRPr="00A53689">
        <w:rPr>
          <w:lang w:val="en-US"/>
        </w:rPr>
        <w:lastRenderedPageBreak/>
        <w:t>tailored approaches to fight the pandemic and support cities to build back better.</w:t>
      </w:r>
      <w:r w:rsidRPr="00A53689">
        <w:rPr>
          <w:rStyle w:val="FootnoteReference"/>
          <w:lang w:val="en-US"/>
        </w:rPr>
        <w:footnoteReference w:id="1"/>
      </w:r>
      <w:r w:rsidRPr="00A53689">
        <w:rPr>
          <w:lang w:val="en-US"/>
        </w:rPr>
        <w:t xml:space="preserve"> T</w:t>
      </w:r>
      <w:r w:rsidR="00914824" w:rsidRPr="00A53689">
        <w:rPr>
          <w:lang w:val="en-US"/>
        </w:rPr>
        <w:t>hrough technical cooperation, cities will be assisted in designing and implementing action plans to protect marginalized communities and strengthen participatory community engagement. Local governments will continue to be supported to accelerate the digital transformation in local governance as part of dedicated COVID-19 responses. Supporting citywide and spatially targeted approaches will contribute to improving living conditions in all settlements and reducing disadvantages in specific locations. Support will be provided to local governments to invest in social, economic, institutional and financial innovations for a sustained socioeconomic recovery. Partnerships will catalyse support for cities in building more resilient budgets and fiscal frameworks in support of local service delivery and local economic development. UN-Habitat will support cities in reshaping urban planning solutions that are more sustainable and integrated, supported by innovation and technology to become healthier and more resilient.</w:t>
      </w:r>
    </w:p>
    <w:p w14:paraId="5F0B942D" w14:textId="68C9737B" w:rsidR="00914824" w:rsidRPr="00A53689" w:rsidRDefault="00D900EB"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15.5</w:t>
      </w:r>
      <w:r w:rsidR="00914824" w:rsidRPr="00A53689">
        <w:rPr>
          <w:lang w:val="en-US"/>
        </w:rPr>
        <w:tab/>
        <w:t>The strategy of UN-Habitat for delivering the programme plan in 2022 continues to be driven by the strategic plan for the period 2020–2023, which has proven robust in responding to the COVID-19 pandemic. The plan enables the organization to advance its innovative, delivery-focused and partnership-oriented model of operation. Its recently developed organizational structure makes UN</w:t>
      </w:r>
      <w:r w:rsidRPr="00A53689">
        <w:rPr>
          <w:lang w:val="en-US"/>
        </w:rPr>
        <w:noBreakHyphen/>
      </w:r>
      <w:r w:rsidR="00914824" w:rsidRPr="00A53689">
        <w:rPr>
          <w:lang w:val="en-US"/>
        </w:rPr>
        <w:t>Habitat a dynamic, fit-for-purpose organization for delivering the four interconnected subprogrammes of the strategic plan for the period 2020–2023, which was approved by the UN</w:t>
      </w:r>
      <w:r w:rsidRPr="00A53689">
        <w:rPr>
          <w:lang w:val="en-US"/>
        </w:rPr>
        <w:noBreakHyphen/>
      </w:r>
      <w:r w:rsidR="00914824" w:rsidRPr="00A53689">
        <w:rPr>
          <w:lang w:val="en-US"/>
        </w:rPr>
        <w:t>Habitat Assembly at its first session, in May 2019.</w:t>
      </w:r>
    </w:p>
    <w:p w14:paraId="5A407E5A" w14:textId="136013B9" w:rsidR="00914824" w:rsidRPr="00A53689" w:rsidRDefault="00D900EB"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15.6</w:t>
      </w:r>
      <w:r w:rsidR="00914824" w:rsidRPr="00A53689">
        <w:rPr>
          <w:lang w:val="en-US"/>
        </w:rPr>
        <w:tab/>
        <w:t xml:space="preserve">In addition, UN-Habitat flagship programmes are proving to be vehicles to fast-track integration between the normative and operational work of UN-Habitat, scaling the impact of the organization. In 2022, UN-Habitat will primarily focus on the following flagship programmes: </w:t>
      </w:r>
    </w:p>
    <w:p w14:paraId="773C3422" w14:textId="24DE84A7" w:rsidR="00914824" w:rsidRPr="00A53689" w:rsidRDefault="00D900EB"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914824" w:rsidRPr="00A53689">
        <w:rPr>
          <w:lang w:val="en-US"/>
        </w:rPr>
        <w:t>(a)</w:t>
      </w:r>
      <w:r w:rsidR="00914824" w:rsidRPr="00A53689">
        <w:rPr>
          <w:lang w:val="en-US"/>
        </w:rPr>
        <w:tab/>
      </w:r>
      <w:r w:rsidR="000065AA" w:rsidRPr="00A53689">
        <w:rPr>
          <w:lang w:val="en-US"/>
        </w:rPr>
        <w:t>“</w:t>
      </w:r>
      <w:r w:rsidR="00914824" w:rsidRPr="00A53689">
        <w:rPr>
          <w:lang w:val="en-US"/>
        </w:rPr>
        <w:t>Sustainable Development Goals Cities</w:t>
      </w:r>
      <w:r w:rsidR="000065AA" w:rsidRPr="00A53689">
        <w:rPr>
          <w:lang w:val="en-US"/>
        </w:rPr>
        <w:t>”</w:t>
      </w:r>
      <w:r w:rsidR="00914824" w:rsidRPr="00A53689">
        <w:rPr>
          <w:lang w:val="en-US"/>
        </w:rPr>
        <w:t xml:space="preserve"> (SDG Cities). Supporting Member States in achieving the Sustainable Development Goals is the main goal of all four subprogrammes. This flagship programme is designed to advance the overall implementation of the Goals at the local level by supporting cities in developing and implementing transformative projects designed to maximize the progress of Member States towards achieving the Goals;</w:t>
      </w:r>
    </w:p>
    <w:p w14:paraId="5BA8FCB4" w14:textId="6B8015C0" w:rsidR="00914824" w:rsidRPr="00A53689" w:rsidRDefault="00D900EB"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914824" w:rsidRPr="00A53689">
        <w:rPr>
          <w:lang w:val="en-US"/>
        </w:rPr>
        <w:t>(b)</w:t>
      </w:r>
      <w:r w:rsidR="00914824" w:rsidRPr="00A53689">
        <w:rPr>
          <w:lang w:val="en-US"/>
        </w:rPr>
        <w:tab/>
      </w:r>
      <w:r w:rsidR="000065AA" w:rsidRPr="00A53689">
        <w:rPr>
          <w:lang w:val="en-US"/>
        </w:rPr>
        <w:t>“</w:t>
      </w:r>
      <w:r w:rsidR="00914824" w:rsidRPr="00A53689">
        <w:rPr>
          <w:lang w:val="en-US"/>
        </w:rPr>
        <w:t>RISE-UP: resilient settlements for the urban poor</w:t>
      </w:r>
      <w:r w:rsidR="000065AA" w:rsidRPr="00A53689">
        <w:rPr>
          <w:lang w:val="en-US"/>
        </w:rPr>
        <w:t>”</w:t>
      </w:r>
      <w:r w:rsidR="00914824" w:rsidRPr="00A53689">
        <w:rPr>
          <w:lang w:val="en-US"/>
        </w:rPr>
        <w:t xml:space="preserve">. This flagship programme will be implemented mainly by subprogrammes 1 and 3 by leveraging large-scale investment to build urban adaptation and climate resilience in global hotspots of vulnerability and also address issues of spatial inequality; </w:t>
      </w:r>
    </w:p>
    <w:p w14:paraId="7CF36512" w14:textId="0C5892BB" w:rsidR="00914824" w:rsidRPr="00A53689" w:rsidRDefault="00D900EB"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914824" w:rsidRPr="00A53689">
        <w:rPr>
          <w:lang w:val="en-US"/>
        </w:rPr>
        <w:t>(c)</w:t>
      </w:r>
      <w:r w:rsidR="00914824" w:rsidRPr="00A53689">
        <w:rPr>
          <w:lang w:val="en-US"/>
        </w:rPr>
        <w:tab/>
      </w:r>
      <w:r w:rsidR="000065AA" w:rsidRPr="00A53689">
        <w:rPr>
          <w:lang w:val="en-US"/>
        </w:rPr>
        <w:t>“</w:t>
      </w:r>
      <w:r w:rsidR="00914824" w:rsidRPr="00A53689">
        <w:rPr>
          <w:lang w:val="en-US"/>
        </w:rPr>
        <w:t>Inclusive cities: enhancing the positive impacts of urban migration</w:t>
      </w:r>
      <w:r w:rsidR="000065AA" w:rsidRPr="00A53689">
        <w:rPr>
          <w:lang w:val="en-US"/>
        </w:rPr>
        <w:t>”</w:t>
      </w:r>
      <w:r w:rsidR="00914824" w:rsidRPr="00A53689">
        <w:rPr>
          <w:lang w:val="en-US"/>
        </w:rPr>
        <w:t>. This flagship programme will mainly respond to subprogrammes 1 and 4 by supporting local and national authorities in creating inclusive and non-discriminatory urban environments for all people;</w:t>
      </w:r>
    </w:p>
    <w:p w14:paraId="20796205" w14:textId="7309EDBB" w:rsidR="00914824" w:rsidRPr="00A53689" w:rsidRDefault="00D900EB" w:rsidP="00D900EB">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914824" w:rsidRPr="00A53689">
        <w:rPr>
          <w:lang w:val="en-US"/>
        </w:rPr>
        <w:t>(d)</w:t>
      </w:r>
      <w:r w:rsidR="00914824" w:rsidRPr="00A53689">
        <w:rPr>
          <w:lang w:val="en-US"/>
        </w:rPr>
        <w:tab/>
        <w:t xml:space="preserve">Two other flagship programmes, on </w:t>
      </w:r>
      <w:r w:rsidR="000065AA" w:rsidRPr="00A53689">
        <w:rPr>
          <w:lang w:val="en-US"/>
        </w:rPr>
        <w:t>“</w:t>
      </w:r>
      <w:r w:rsidR="00914824" w:rsidRPr="00A53689">
        <w:rPr>
          <w:lang w:val="en-US"/>
        </w:rPr>
        <w:t>inclusive, vibrant neighbourhoods and communities</w:t>
      </w:r>
      <w:r w:rsidR="000065AA" w:rsidRPr="00A53689">
        <w:rPr>
          <w:lang w:val="en-US"/>
        </w:rPr>
        <w:t>”</w:t>
      </w:r>
      <w:r w:rsidR="00914824" w:rsidRPr="00A53689">
        <w:rPr>
          <w:lang w:val="en-US"/>
        </w:rPr>
        <w:t xml:space="preserve"> and </w:t>
      </w:r>
      <w:r w:rsidR="000065AA" w:rsidRPr="00A53689">
        <w:rPr>
          <w:lang w:val="en-US"/>
        </w:rPr>
        <w:t>“</w:t>
      </w:r>
      <w:r w:rsidR="00914824" w:rsidRPr="00A53689">
        <w:rPr>
          <w:lang w:val="en-US"/>
        </w:rPr>
        <w:t>people-centred smart cities</w:t>
      </w:r>
      <w:r w:rsidR="000065AA" w:rsidRPr="00A53689">
        <w:rPr>
          <w:lang w:val="en-US"/>
        </w:rPr>
        <w:t>”</w:t>
      </w:r>
      <w:r w:rsidR="00914824" w:rsidRPr="00A53689">
        <w:rPr>
          <w:lang w:val="en-US"/>
        </w:rPr>
        <w:t xml:space="preserve">, will be mainstreamed across the four subprogrammes, strengthening links across the outcomes of the strategic plan. In addition, a normative and capacity-building approach to strengthen the agency-wide operationalization of digital transformation in sustainable urbanization contexts will be implemented. </w:t>
      </w:r>
    </w:p>
    <w:p w14:paraId="6BB224AB" w14:textId="19A820DC" w:rsidR="00914824" w:rsidRPr="00A53689" w:rsidRDefault="00D900EB"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15.7</w:t>
      </w:r>
      <w:r w:rsidR="00914824" w:rsidRPr="00A53689">
        <w:rPr>
          <w:lang w:val="en-US"/>
        </w:rPr>
        <w:tab/>
        <w:t>In 2022, the programme will continue to streamline social inclusion as a process and outcome to address cross-cutting issues relating to older persons, children, people with disabilities, gender and youth. UN-Habitat will strengthen its programmatic approach to leaving no one behind by focusing on the spatial dimension of exclusion and the self-reinforcing mechanisms of marginalization, thereby assisting Governments in providing basic services, housing and public goods in the most deprived areas of cities. UN-Habitat thematic areas of resilience and urban safety will be cross-cutting in guiding frameworks, tools and capacity-building materials, setting standards, proposing norms and principles, and sharing good practices on social inclusion issues. Global networks such as the Global Land Tool Network, the Global Water Operators</w:t>
      </w:r>
      <w:r w:rsidR="000065AA" w:rsidRPr="00A53689">
        <w:rPr>
          <w:lang w:val="en-US"/>
        </w:rPr>
        <w:t>’</w:t>
      </w:r>
      <w:r w:rsidR="00914824" w:rsidRPr="00A53689">
        <w:rPr>
          <w:lang w:val="en-US"/>
        </w:rPr>
        <w:t xml:space="preserve"> Partnerships Alliance, the Resilient Cities Network, the Global Network on Safer Cities, the Global Network of Urban Planning and </w:t>
      </w:r>
      <w:r w:rsidR="00914824" w:rsidRPr="00A53689">
        <w:rPr>
          <w:lang w:val="en-US"/>
        </w:rPr>
        <w:lastRenderedPageBreak/>
        <w:t>Design Labs and the Global Network of Public Space will be systematically engaged to develop and test these tools.</w:t>
      </w:r>
    </w:p>
    <w:p w14:paraId="2C359F92" w14:textId="6C01F7E5" w:rsidR="00914824" w:rsidRPr="00A53689" w:rsidRDefault="00A000F9"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15.8</w:t>
      </w:r>
      <w:r w:rsidR="00914824" w:rsidRPr="00A53689">
        <w:rPr>
          <w:lang w:val="en-US"/>
        </w:rPr>
        <w:tab/>
        <w:t xml:space="preserve">To better meet the needs of Member States and to engage a wider audience, UN-Habitat will strengthen capacity-building initiatives, digitization of tools and virtual e-learning programmes. The UN-Habitat capacity-building strategy for the implementation of the Sustainable Development Goals and the New Urban Agenda, adopted by its Executive Board in 2020, provides a clear framework to fill the institutional and operational gap within UN-Habitat for greater coordination, coherence and monitoring of results and to improve the delivery of capacity-building services to Member States and local governments, as well as other key urban stakeholders, for greater impact and resource efficiency. Some of the first results, including an illustrated handbook on the New Urban Agenda, along with an online course, have been launched to expand its implementation. </w:t>
      </w:r>
    </w:p>
    <w:p w14:paraId="203769CD" w14:textId="228FFD7C" w:rsidR="00914824" w:rsidRPr="00A53689" w:rsidRDefault="00A000F9"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15.9</w:t>
      </w:r>
      <w:r w:rsidR="00914824" w:rsidRPr="00A53689">
        <w:rPr>
          <w:lang w:val="en-US"/>
        </w:rPr>
        <w:tab/>
        <w:t xml:space="preserve">UN-Habitat will continue to build on its experience of implementing large-scale programmes and projects at the local, national and regional levels to guide technical cooperation work and ensure that it has a demonstrable impact on the lives of beneficiaries. Over the years, UN-Habitat has developed a wide range of diverse projects, focused in large part on integrated programming for sustainable urbanization, as well as activities ranging from crisis response to post-disaster and post-conflict reconstruction and rehabilitation. </w:t>
      </w:r>
    </w:p>
    <w:p w14:paraId="08E29513" w14:textId="08FC55A4" w:rsidR="00914824" w:rsidRPr="00A53689" w:rsidRDefault="00A000F9"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15.10</w:t>
      </w:r>
      <w:r w:rsidR="00914824" w:rsidRPr="00A53689">
        <w:rPr>
          <w:lang w:val="en-US"/>
        </w:rPr>
        <w:tab/>
        <w:t>In its catalytic role as a knowledge hub and partner convenor, UN-Habitat will carry out advocacy, communication and outreach activities across the four subprogramme themes and mobilize public and political support. It will continue to make maximum use of advocacy and knowledge platforms, including its own website, the Urban Agenda Platform and key global meetings such as the World Urban Forum, World Cities Day and World Habitat Day, regional ministerial conferences and the 2022 high-level meeting of the General Assembly on the implementation of the New Urban Agenda.</w:t>
      </w:r>
    </w:p>
    <w:p w14:paraId="777DA4D5" w14:textId="536E3504" w:rsidR="00914824" w:rsidRPr="00A53689" w:rsidRDefault="00A000F9"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15.11</w:t>
      </w:r>
      <w:r w:rsidR="00914824" w:rsidRPr="00A53689">
        <w:rPr>
          <w:lang w:val="en-US"/>
        </w:rPr>
        <w:tab/>
        <w:t>As a focal point for sustainable urbanization and human settlements, UN-Habitat will continue to monitor and report on global conditions and trends and provide evidence for policymaking. For 2022, UN-Habitat will prepare the second quadrennial report on the progress made in the implementation of the New Urban Agenda, in close collaboration with other United Nations entities and development partners. The programme will also prepare the second synthesis report for Goal 11 and other urban Sustainable Development Goals, to be presented at the high-level political forum on sustainable development. These reports will be supported by reporting guidelines for Member States and other stakeholders, a dedicated global online Urban Agenda Platform, a new global urban monitoring framework, an agreed operational definition of urban areas, specialized tools for spatial analysis and the re-establishment of the Urban Indicators Programme. Progress will be made in 2022 in the deployment of technologies for data collection and analysis, visualization and management of information. The use of the City Prosperity Index, and its adaptation to a global monitoring framework, will serve in the implementation of the Sustainable Development Goals cities flagship programme to assist in the realization of Sustainable Development Goals in cities and the preparation of voluntary local reviews.</w:t>
      </w:r>
    </w:p>
    <w:p w14:paraId="2A2982A8" w14:textId="45F4BC62" w:rsidR="00914824" w:rsidRPr="00A53689" w:rsidRDefault="00A000F9"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15.12</w:t>
      </w:r>
      <w:r w:rsidR="00914824" w:rsidRPr="00A53689">
        <w:rPr>
          <w:lang w:val="en-US"/>
        </w:rPr>
        <w:tab/>
        <w:t>For 2022, UN-Habitat planned deliverables and activities reflect known and anticipated challenges related to the COVID-19 pandemic that are being faced by Member States. Such planned deliverables and activities include: (a) assisting Governments in supporting increased access to water and sanitation and adequate housing, (b) advocating for the prevention of evictions and (c) measuring and reducing spatial vulnerability and (d)</w:t>
      </w:r>
      <w:r w:rsidR="00D900EB" w:rsidRPr="00A53689">
        <w:rPr>
          <w:lang w:val="en-US"/>
        </w:rPr>
        <w:t xml:space="preserve"> p</w:t>
      </w:r>
      <w:r w:rsidR="00914824" w:rsidRPr="00A53689">
        <w:rPr>
          <w:lang w:val="en-US"/>
        </w:rPr>
        <w:t>reparing urban planning strategies and local resilience programmes. Specific examples of such planned deliverables and activities are provided under the four subprogrammes. The global database produced by UN-Habitat in partnership with CitiIQ</w:t>
      </w:r>
      <w:r w:rsidR="00D900EB" w:rsidRPr="00A53689">
        <w:rPr>
          <w:lang w:val="en-US"/>
        </w:rPr>
        <w:t xml:space="preserve"> p</w:t>
      </w:r>
      <w:r w:rsidR="00914824" w:rsidRPr="00A53689">
        <w:rPr>
          <w:lang w:val="en-US"/>
        </w:rPr>
        <w:t xml:space="preserve">rovides data on 1,500 cities, and analyses the initial conditions of the cities, their response capacity and the incidence of infection and death. The spatial vulnerability index for COVID-19 and a global report on the state of cities with dedicated policy recommendations will serve to support technical interventions. These data and knowledge, combined with normative and operational work adjusted to respond to the pandemic from a short- and long-term perspective, provide opportunities for cities and Member States to address structural inequalities and prepare for social and economic recovery. The UN-Habitat programme of work for 2022 will focus all efforts of the different subprogrammes </w:t>
      </w:r>
      <w:r w:rsidR="00914824" w:rsidRPr="00A53689">
        <w:rPr>
          <w:lang w:val="en-US"/>
        </w:rPr>
        <w:lastRenderedPageBreak/>
        <w:t xml:space="preserve">and deploy advisory services, innovative solutions, and knowledge packages to support Member States in the fight against COVID-19 and other pandemics. </w:t>
      </w:r>
    </w:p>
    <w:p w14:paraId="560CAF61" w14:textId="346088C8" w:rsidR="00914824" w:rsidRPr="00A53689" w:rsidRDefault="00A000F9"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15.13</w:t>
      </w:r>
      <w:r w:rsidR="00914824" w:rsidRPr="00A53689">
        <w:rPr>
          <w:lang w:val="en-US"/>
        </w:rPr>
        <w:tab/>
        <w:t>With regard to cooperation with other entities at the global, regional, national and local levels, UN</w:t>
      </w:r>
      <w:r w:rsidRPr="00A53689">
        <w:rPr>
          <w:lang w:val="en-US"/>
        </w:rPr>
        <w:noBreakHyphen/>
      </w:r>
      <w:r w:rsidR="00914824" w:rsidRPr="00A53689">
        <w:rPr>
          <w:lang w:val="en-US"/>
        </w:rPr>
        <w:t>Habitat will build on its close cooperation with international and regional organizations and other regional actors, such as the Organisation for Economic Co-operation and Development, the World Bank, the European Union and regional development banks.</w:t>
      </w:r>
    </w:p>
    <w:p w14:paraId="3FB0F9D3" w14:textId="753E809F" w:rsidR="00914824" w:rsidRPr="00A53689" w:rsidRDefault="00A000F9"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15.14</w:t>
      </w:r>
      <w:r w:rsidR="00914824" w:rsidRPr="00A53689">
        <w:rPr>
          <w:lang w:val="en-US"/>
        </w:rPr>
        <w:tab/>
        <w:t xml:space="preserve">With regard to inter-agency coordination and liaison, UN-Habitat will continue to play a key role in supporting efforts by Member States to develop policies, frameworks and actions that enhance the transformative value of urbanization and maximize city responses to the COVID-19 pandemic. This will be done through collaboration with local and regional governments and their associations and city networks, the Department of Economic and Social Affairs, the United Nations regional economic and social commissions, the Cities Alliance and partnerships and coalitions with grass-roots organizations, foundations, international financial institutions, the private sector and academia. UN-Habitat will continue to strengthen its strategic partnerships with other United Nations agencies. To support Member States in developing innovative policies and actions that promote inclusive and sustainable economic growth, employment and decent work for all, particularly women and young people, UN-Habitat will collaborate with the Food and Agriculture Organization of the United Nations, the International Fund for Agricultural Development, the International Labour Organization (ILO), the International Organization for Migration (IOM), the United Nations Industrial Development Organization, the International Telecommunication Union, the United Nations Capital Development Fund, the United Nations Conference on Trade and Development, the United Nations Innovation Network, technology companies, </w:t>
      </w:r>
      <w:r w:rsidR="000065AA" w:rsidRPr="00A53689">
        <w:rPr>
          <w:lang w:val="en-US"/>
        </w:rPr>
        <w:t>“</w:t>
      </w:r>
      <w:r w:rsidR="00914824" w:rsidRPr="00A53689">
        <w:rPr>
          <w:lang w:val="en-US"/>
        </w:rPr>
        <w:t>smart city</w:t>
      </w:r>
      <w:r w:rsidR="000065AA" w:rsidRPr="00A53689">
        <w:rPr>
          <w:lang w:val="en-US"/>
        </w:rPr>
        <w:t>”</w:t>
      </w:r>
      <w:r w:rsidR="00914824" w:rsidRPr="00A53689">
        <w:rPr>
          <w:lang w:val="en-US"/>
        </w:rPr>
        <w:t xml:space="preserve"> associations, innovation hubs, academia and other organizations. </w:t>
      </w:r>
    </w:p>
    <w:p w14:paraId="036CE87A" w14:textId="4CCFCFF2" w:rsidR="00914824" w:rsidRPr="00A53689" w:rsidRDefault="00A000F9"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15.15</w:t>
      </w:r>
      <w:r w:rsidR="00914824" w:rsidRPr="00A53689">
        <w:rPr>
          <w:lang w:val="en-US"/>
        </w:rPr>
        <w:tab/>
        <w:t>To mainstream environmental sustainability into urban development, UN-Habitat will collaborate with the United Nations Environment Programme (UNEP), climate funds, the urban climate knowledge and innovation communities and organizations focusing on resilience, such as the United Cities and Local Government and ICLEI</w:t>
      </w:r>
      <w:r w:rsidR="00674BD1">
        <w:rPr>
          <w:lang w:val="en-US"/>
        </w:rPr>
        <w:t>-</w:t>
      </w:r>
      <w:r w:rsidR="00914824" w:rsidRPr="00A53689">
        <w:rPr>
          <w:lang w:val="en-US"/>
        </w:rPr>
        <w:t>Local Governments for Sustainability initiatives. To implement the Greener Cities Partnership, UN-Habitat will collaborate with the secretariat of the United Nations Framework Convention on Climate Change to develop national climate action plans and with the United Nations Office for Disaster Risk Reduction, the World Bank, the European Union and the United Nations Development Programme (UNDP) to develop frameworks for joint financing mechanisms and to harmonize the implementation of the Sendai Framework for Disaster Risk Reduction 2015–2030. UN</w:t>
      </w:r>
      <w:r w:rsidR="00C57302">
        <w:rPr>
          <w:lang w:val="en-US"/>
        </w:rPr>
        <w:t>-</w:t>
      </w:r>
      <w:r w:rsidR="00914824" w:rsidRPr="00A53689">
        <w:rPr>
          <w:lang w:val="en-US"/>
        </w:rPr>
        <w:t>Habitat will collaborate with the Office of the United Nations High Commissioner for Refugees, UNDP, IOM, the United Nations Office for Disaster Risk Reduction, the World Food Programme (WFP), the Mayors Migration Council and the Resilient Cities Network to integrate sustainable urban development into resilience and humanitarian response, and with the United Nations Office on Drugs and Crime (UNODC) to promote safety in public spaces. UN</w:t>
      </w:r>
      <w:r w:rsidR="00FE7916">
        <w:rPr>
          <w:lang w:val="en-US"/>
        </w:rPr>
        <w:noBreakHyphen/>
      </w:r>
      <w:r w:rsidR="00914824" w:rsidRPr="00A53689">
        <w:rPr>
          <w:lang w:val="en-US"/>
        </w:rPr>
        <w:t>Habitat will collaborate with the World Health Organization (WHO) and the United Nations Children</w:t>
      </w:r>
      <w:r w:rsidR="000065AA" w:rsidRPr="00A53689">
        <w:rPr>
          <w:lang w:val="en-US"/>
        </w:rPr>
        <w:t>’</w:t>
      </w:r>
      <w:r w:rsidR="00914824" w:rsidRPr="00A53689">
        <w:rPr>
          <w:lang w:val="en-US"/>
        </w:rPr>
        <w:t>s Fund (UNICEF) on the monitoring of water and sanitation and on mainstreaming the New Urban Agenda into UN-Water and UN-Energy. UN</w:t>
      </w:r>
      <w:r w:rsidR="00FE7916">
        <w:rPr>
          <w:lang w:val="en-US"/>
        </w:rPr>
        <w:t>-</w:t>
      </w:r>
      <w:r w:rsidR="00914824" w:rsidRPr="00A53689">
        <w:rPr>
          <w:lang w:val="en-US"/>
        </w:rPr>
        <w:t xml:space="preserve">Habitat will also collaborate with the United Nations Entity for Gender Equality and the Empowerment of Women (UN-Women) to promote gender equality and ensure that projects benefit women and girls. </w:t>
      </w:r>
    </w:p>
    <w:p w14:paraId="041F351D" w14:textId="2EEDA441" w:rsidR="00914824" w:rsidRPr="00A53689" w:rsidRDefault="00A000F9"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15.16</w:t>
      </w:r>
      <w:r w:rsidR="00914824" w:rsidRPr="00A53689">
        <w:rPr>
          <w:lang w:val="en-US"/>
        </w:rPr>
        <w:tab/>
        <w:t xml:space="preserve">UN-Habitat will continue to work closely with the Department of Economic and Social Affairs and the regional economic and social commissions to serve as a knowledge platform and the global first port of call for data and knowledge on cities, towns and rural settlements. Given that cities play a vital role in realizing the sustainable urban development agenda, UN-Habitat will reenergize its partnerships with local authorities and their associations and city networks in the context of national policies. Furthermore, the Programme will fully support municipal efforts in the local achievement and monitoring of the Sustainable Development Goals and the implementation of the New Urban Agenda through work on policy, legislation, governance, planning and design, and financing mechanisms. It will also collaborate with the Resident Coordinator system to improve the efficiency and effectiveness of operational activities at the country level, supporting common country </w:t>
      </w:r>
      <w:r w:rsidR="00914824" w:rsidRPr="00A53689">
        <w:rPr>
          <w:lang w:val="en-US"/>
        </w:rPr>
        <w:lastRenderedPageBreak/>
        <w:t>assessments and the formulation of the United Nations Sustainable Development Cooperation Framework.</w:t>
      </w:r>
    </w:p>
    <w:p w14:paraId="3C455421" w14:textId="23ADD8ED" w:rsidR="00914824" w:rsidRPr="00A53689" w:rsidRDefault="00E931B8"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15.17</w:t>
      </w:r>
      <w:r w:rsidR="00914824" w:rsidRPr="00A53689">
        <w:rPr>
          <w:lang w:val="en-US"/>
        </w:rPr>
        <w:tab/>
        <w:t>With regard to external factors, the overall plan for 2022 is based on the following planning assumptions:</w:t>
      </w:r>
    </w:p>
    <w:p w14:paraId="4AB9517A" w14:textId="2A98EB9D" w:rsidR="00914824" w:rsidRPr="00A53689" w:rsidRDefault="00E931B8" w:rsidP="00E931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914824" w:rsidRPr="00A53689">
        <w:rPr>
          <w:lang w:val="en-US"/>
        </w:rPr>
        <w:t>(a)</w:t>
      </w:r>
      <w:r w:rsidR="00914824" w:rsidRPr="00A53689">
        <w:rPr>
          <w:lang w:val="en-US"/>
        </w:rPr>
        <w:tab/>
        <w:t>Adequate unearmarked extrabudgetary resources are available to implement the planned work and produce the deliverables;</w:t>
      </w:r>
    </w:p>
    <w:p w14:paraId="427786D8" w14:textId="0A5A245F" w:rsidR="00914824" w:rsidRPr="00A53689" w:rsidRDefault="00E931B8" w:rsidP="00E931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914824" w:rsidRPr="00A53689">
        <w:rPr>
          <w:lang w:val="en-US"/>
        </w:rPr>
        <w:t>(b)</w:t>
      </w:r>
      <w:r w:rsidR="00914824" w:rsidRPr="00A53689">
        <w:rPr>
          <w:lang w:val="en-US"/>
        </w:rPr>
        <w:tab/>
        <w:t>Country make</w:t>
      </w:r>
      <w:r w:rsidR="00D900EB" w:rsidRPr="00A53689">
        <w:rPr>
          <w:lang w:val="en-US"/>
        </w:rPr>
        <w:t xml:space="preserve"> c</w:t>
      </w:r>
      <w:r w:rsidR="00914824" w:rsidRPr="00A53689">
        <w:rPr>
          <w:lang w:val="en-US"/>
        </w:rPr>
        <w:t>ommitments to the New Urban Agenda and the 2030 Agenda for Sustainable Development;</w:t>
      </w:r>
    </w:p>
    <w:p w14:paraId="7E7CD7EB" w14:textId="7A770D9C" w:rsidR="00914824" w:rsidRPr="00A53689" w:rsidRDefault="00E931B8" w:rsidP="00E931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914824" w:rsidRPr="00A53689">
        <w:rPr>
          <w:lang w:val="en-US"/>
        </w:rPr>
        <w:t>(c)</w:t>
      </w:r>
      <w:r w:rsidR="00914824" w:rsidRPr="00A53689">
        <w:rPr>
          <w:lang w:val="en-US"/>
        </w:rPr>
        <w:tab/>
        <w:t>Ongoing requests are received from national and local governments for policy advice and technical support from UN-Habitat in the development and implementation of their urban policies, plans and strategies;</w:t>
      </w:r>
    </w:p>
    <w:p w14:paraId="16744F34" w14:textId="197E7D2B" w:rsidR="00914824" w:rsidRPr="00A53689" w:rsidRDefault="00E931B8" w:rsidP="00E931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914824" w:rsidRPr="00A53689">
        <w:rPr>
          <w:lang w:val="en-US"/>
        </w:rPr>
        <w:t>(d)</w:t>
      </w:r>
      <w:r w:rsidR="00914824" w:rsidRPr="00A53689">
        <w:rPr>
          <w:lang w:val="en-US"/>
        </w:rPr>
        <w:tab/>
        <w:t>Urban indicators, data and information are used to formulate policies, with adequate mechanisms available for impact monitoring and the assessment of city performance;</w:t>
      </w:r>
    </w:p>
    <w:p w14:paraId="070F490C" w14:textId="7110D2C7" w:rsidR="00914824" w:rsidRPr="00A53689" w:rsidRDefault="00E931B8" w:rsidP="00E931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914824" w:rsidRPr="00A53689">
        <w:rPr>
          <w:lang w:val="en-US"/>
        </w:rPr>
        <w:t>(e)</w:t>
      </w:r>
      <w:r w:rsidR="00914824" w:rsidRPr="00A53689">
        <w:rPr>
          <w:lang w:val="en-US"/>
        </w:rPr>
        <w:tab/>
        <w:t>Social, political and macroeconomic stability continues in the areas in which UN-Habitat and partners will be implementing programmes and projects.</w:t>
      </w:r>
    </w:p>
    <w:p w14:paraId="70720BF3" w14:textId="2D731BAC" w:rsidR="00914824" w:rsidRPr="00A53689" w:rsidRDefault="00E931B8"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15.18</w:t>
      </w:r>
      <w:r w:rsidR="00914824" w:rsidRPr="00A53689">
        <w:rPr>
          <w:lang w:val="en-US"/>
        </w:rPr>
        <w:tab/>
        <w:t xml:space="preserve">With regard to the COVID-19 pandemic, the programme plan is based on the assumption that the proposed deliverables and activities for 2022 will be feasible to implement. However, if the pandemic were to continue to have an impact on the planned deliverables and activities, they would be adjusted during 2022 within the scope of the overall objectives, strategies and mandates. Any such adjustments would be reported as part of the programme performance information. </w:t>
      </w:r>
    </w:p>
    <w:p w14:paraId="62416B20" w14:textId="33F9673B" w:rsidR="00914824" w:rsidRPr="00A53689" w:rsidRDefault="00E931B8"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15.19</w:t>
      </w:r>
      <w:r w:rsidR="00914824" w:rsidRPr="00A53689">
        <w:rPr>
          <w:lang w:val="en-US"/>
        </w:rPr>
        <w:tab/>
        <w:t>UN-Habitat integrates a gender perspective in its operational activities, deliverables and results, as appropriate, with guidance from its Advisory Group on Gender Issues. For example, one of the 2022 planned results for subprogramme 1 demonstrates the aim of UN-Habitat interventions to support Member States with policy, legislation, planning and financing instruments to implement integrated, inclusive and gender-responsive land and housing policies that improve tenure security for all, and continue the work related to strengthened land rights for men and women in the Arab world.</w:t>
      </w:r>
    </w:p>
    <w:p w14:paraId="02B7A297" w14:textId="74158FD9" w:rsidR="00914824" w:rsidRPr="00A53689" w:rsidRDefault="00E931B8"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15.20</w:t>
      </w:r>
      <w:r w:rsidR="00914824" w:rsidRPr="00A53689">
        <w:rPr>
          <w:lang w:val="en-US"/>
        </w:rPr>
        <w:tab/>
        <w:t>UN-Habitat integrates disability inclusion in its operational activities, deliverables and results as appropriate.</w:t>
      </w:r>
      <w:r w:rsidR="00D900EB" w:rsidRPr="00A53689">
        <w:rPr>
          <w:lang w:val="en-US"/>
        </w:rPr>
        <w:t xml:space="preserve"> T</w:t>
      </w:r>
      <w:r w:rsidR="00914824" w:rsidRPr="00A53689">
        <w:rPr>
          <w:lang w:val="en-US"/>
        </w:rPr>
        <w:t>hrough the work of its subprogrammes, UN-Habitat is working with its partners to develop a disability inclusion strategy in line with the one released by the Secretary-General in 2019. Following the establishment of agreements with memorandums of understanding with the World Blind Union and World Enabled, UN-Habitat is also developing guidelines for disability inclusion by enhancing the environmental and social safeguards framework that is applied to all projects, to be socially inclusive, including disability inclusion as an integral part of each project presented for approval.</w:t>
      </w:r>
    </w:p>
    <w:p w14:paraId="5EC41731" w14:textId="37CDEBCE" w:rsidR="00E931B8" w:rsidRDefault="00E931B8" w:rsidP="00E931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71DC114E" w14:textId="77777777" w:rsidR="00570B35" w:rsidRPr="00A53689" w:rsidRDefault="00570B35" w:rsidP="00E931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59E526E9" w14:textId="77777777" w:rsidR="00914824" w:rsidRPr="00A53689" w:rsidRDefault="00914824" w:rsidP="00570B35">
      <w:pPr>
        <w:pStyle w:val="H1"/>
        <w:ind w:right="1260"/>
        <w:rPr>
          <w:lang w:val="en-US"/>
        </w:rPr>
      </w:pPr>
      <w:r w:rsidRPr="00A53689">
        <w:rPr>
          <w:lang w:val="en-US"/>
        </w:rPr>
        <w:tab/>
      </w:r>
      <w:r w:rsidRPr="00A53689">
        <w:rPr>
          <w:lang w:val="en-US"/>
        </w:rPr>
        <w:tab/>
        <w:t>Programme performance in 2020</w:t>
      </w:r>
    </w:p>
    <w:p w14:paraId="0D4B6DCA" w14:textId="6F2BF261" w:rsidR="00E931B8" w:rsidRDefault="00E931B8" w:rsidP="00E931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03FE5A0B" w14:textId="77777777" w:rsidR="00570B35" w:rsidRPr="00A53689" w:rsidRDefault="00570B35" w:rsidP="00E931B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332AD271" w14:textId="74FFC261" w:rsidR="00914824" w:rsidRPr="00A53689" w:rsidRDefault="00E931B8" w:rsidP="00570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ab/>
      </w:r>
      <w:r w:rsidR="00914824" w:rsidRPr="00A53689">
        <w:tab/>
        <w:t>Impact of COVID-19 on programme delivery</w:t>
      </w:r>
    </w:p>
    <w:p w14:paraId="12D0EE8A" w14:textId="745BDBCD" w:rsidR="00E931B8" w:rsidRPr="00A53689" w:rsidRDefault="00E931B8" w:rsidP="00E931B8">
      <w:pPr>
        <w:pStyle w:val="SingleTxt"/>
        <w:spacing w:after="0" w:line="120" w:lineRule="exact"/>
        <w:rPr>
          <w:sz w:val="10"/>
          <w:lang w:val="en-US"/>
        </w:rPr>
      </w:pPr>
    </w:p>
    <w:p w14:paraId="0CD7FF7D" w14:textId="08EA2C64" w:rsidR="00914824" w:rsidRPr="00A53689" w:rsidRDefault="00E931B8"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15.21</w:t>
      </w:r>
      <w:r w:rsidR="00914824" w:rsidRPr="00A53689">
        <w:rPr>
          <w:lang w:val="en-US"/>
        </w:rPr>
        <w:tab/>
        <w:t>During 2020, the COVID-19 pandemic had an impact on the planned deliverables and activities of UN-Habitat. The impact included adjusting support to national and local authorities, as well as local communities, by shifting from face-to-face meetings and technical advisory missions to virtual and/or hybrid meetings. UN-Habitat progressively moved towards alternative forms of gatherings and consultations, using virtual meeting platforms, and remote technical support, combining local consultants with remote virtual advisory services. Specific activities related to technical cooperation projects were delayed or postponed due to severe international travel restrictions as a result of the COVID-19 pandemic. Specific examples of the impact are provided under all four subprogrammes. The change in approach of planned deliverables and activities also had an impact on the expected results for 2020, as described in the programme performance under subprogrammes 1, 2 and 3.</w:t>
      </w:r>
    </w:p>
    <w:p w14:paraId="6C4C9435" w14:textId="00C876FA" w:rsidR="00914824" w:rsidRPr="00A53689" w:rsidRDefault="00D73C2D"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lastRenderedPageBreak/>
        <w:tab/>
      </w:r>
      <w:r w:rsidR="00914824" w:rsidRPr="00A53689">
        <w:rPr>
          <w:lang w:val="en-US"/>
        </w:rPr>
        <w:t>15.22</w:t>
      </w:r>
      <w:r w:rsidR="00914824" w:rsidRPr="00A53689">
        <w:rPr>
          <w:lang w:val="en-US"/>
        </w:rPr>
        <w:tab/>
        <w:t xml:space="preserve">At the same time, however, some planned deliverables and activities were modified, and new activities were identified during 2020, within the overall scope of the objectives of the subprogrammes, in order to support Member States on issues related to the COVID-19 pandemic. Those included modifications and new activities at the normative level: contributions to the policy brief by the Secretary-General on COVID-19 in an urban world and to </w:t>
      </w:r>
      <w:r w:rsidR="000065AA" w:rsidRPr="00A53689">
        <w:rPr>
          <w:lang w:val="en-US"/>
        </w:rPr>
        <w:t>“</w:t>
      </w:r>
      <w:r w:rsidR="00914824" w:rsidRPr="00A53689">
        <w:rPr>
          <w:lang w:val="en-US"/>
        </w:rPr>
        <w:t>A United Nations framework for the immediate socio-economic response to COVID-19</w:t>
      </w:r>
      <w:r w:rsidR="000065AA" w:rsidRPr="00A53689">
        <w:rPr>
          <w:lang w:val="en-US"/>
        </w:rPr>
        <w:t>”</w:t>
      </w:r>
      <w:r w:rsidR="00914824" w:rsidRPr="00A53689">
        <w:rPr>
          <w:lang w:val="en-US"/>
        </w:rPr>
        <w:t xml:space="preserve">, the preparation of the </w:t>
      </w:r>
      <w:r w:rsidR="00914824" w:rsidRPr="00A53689">
        <w:rPr>
          <w:i/>
          <w:iCs/>
          <w:lang w:val="en-US"/>
        </w:rPr>
        <w:t>Cities and Pandemics: Towards a More Just, Green and Healthy Future</w:t>
      </w:r>
      <w:r w:rsidR="00914824" w:rsidRPr="00A53689">
        <w:rPr>
          <w:lang w:val="en-US"/>
        </w:rPr>
        <w:t xml:space="preserve"> report and several technical guidelines to support the response to COVID-19 under the UN-Habitat COVID-19 response plan. At the operational level, UN-Habitat adjusted its programming to help respond to the pandemic through its COVID-19 response plan and partnered with United Cities and Local Government to facilitate a series of live learning sessions, facilitating north-south and south-south exchange on COVID-19 response. Specific examples of the modified and new activities are provided under all four subprogrammes. The modified and new deliverables and activities contributed to results in 2020, as described in the programme performance under subprogrammes 1, 2 and 3.</w:t>
      </w:r>
    </w:p>
    <w:p w14:paraId="50DE9589" w14:textId="46AA522F" w:rsidR="00914824" w:rsidRPr="00A53689" w:rsidRDefault="00D73C2D"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15.23</w:t>
      </w:r>
      <w:r w:rsidR="00914824" w:rsidRPr="00A53689">
        <w:rPr>
          <w:lang w:val="en-US"/>
        </w:rPr>
        <w:tab/>
        <w:t>Reflecting the importance of continuous improvement and responding to the evolving needs of Member States, the programme will mainstream lessons learned and best practices related to the adjustments to and adaptation of its programme owing to the COVID-19 pandemic. Specific examples of lessons learned include the continuation of virtual meeting modalities where possible for expert group meetings, which allows for broader participation, and complementing the existing tools of UN-Habitat with online digital learning companions to expand its outreach.</w:t>
      </w:r>
    </w:p>
    <w:p w14:paraId="061B9259" w14:textId="0F1FA9E5" w:rsidR="00914824" w:rsidRPr="00A53689" w:rsidRDefault="00914824" w:rsidP="00D73C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4CC58158" w14:textId="4FFFEDED" w:rsidR="00D73C2D" w:rsidRPr="00A53689" w:rsidRDefault="00D73C2D" w:rsidP="00D73C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65022265" w14:textId="77777777" w:rsidR="00914824" w:rsidRPr="00A53689" w:rsidRDefault="00914824" w:rsidP="00D73C2D">
      <w:pPr>
        <w:pStyle w:val="H1"/>
        <w:ind w:right="1260"/>
        <w:rPr>
          <w:lang w:val="en-US"/>
        </w:rPr>
      </w:pPr>
      <w:r w:rsidRPr="00A53689">
        <w:rPr>
          <w:lang w:val="en-US"/>
        </w:rPr>
        <w:tab/>
      </w:r>
      <w:r w:rsidRPr="00A53689">
        <w:rPr>
          <w:lang w:val="en-US"/>
        </w:rPr>
        <w:tab/>
        <w:t xml:space="preserve">Legislative mandates </w:t>
      </w:r>
    </w:p>
    <w:p w14:paraId="1DEE734E" w14:textId="53E43E40" w:rsidR="00914824" w:rsidRPr="00A53689" w:rsidRDefault="00914824" w:rsidP="00D73C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76350061" w14:textId="6A5C6EFD" w:rsidR="00D73C2D" w:rsidRPr="00A53689" w:rsidRDefault="00D73C2D" w:rsidP="00D73C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42742C29" w14:textId="7C415BDC" w:rsidR="0033759F" w:rsidRPr="00A53689" w:rsidRDefault="00D73C2D" w:rsidP="0091482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914824" w:rsidRPr="00A53689">
        <w:rPr>
          <w:lang w:val="en-US"/>
        </w:rPr>
        <w:t>15.24</w:t>
      </w:r>
      <w:r w:rsidR="00914824" w:rsidRPr="00A53689">
        <w:rPr>
          <w:lang w:val="en-US"/>
        </w:rPr>
        <w:tab/>
        <w:t>The list below provides all mandates entrusted to the programme.</w:t>
      </w:r>
    </w:p>
    <w:p w14:paraId="726E016D" w14:textId="0139B234" w:rsidR="001B7A02" w:rsidRPr="00A53689" w:rsidRDefault="001B7A02" w:rsidP="001B7A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1D763542" w14:textId="00B82C49" w:rsidR="001B7A02" w:rsidRPr="00A53689" w:rsidRDefault="001B7A02" w:rsidP="001B7A02">
      <w:pPr>
        <w:pStyle w:val="H4"/>
        <w:ind w:right="1260"/>
        <w:rPr>
          <w:lang w:val="en-US"/>
        </w:rPr>
      </w:pPr>
      <w:r w:rsidRPr="00A53689">
        <w:rPr>
          <w:lang w:val="en-US"/>
        </w:rPr>
        <w:t>General Assembly resolutions</w:t>
      </w:r>
    </w:p>
    <w:p w14:paraId="348790DC" w14:textId="4FCD256F" w:rsidR="001B7A02" w:rsidRPr="00A53689" w:rsidRDefault="001B7A02" w:rsidP="001B7A02">
      <w:pPr>
        <w:pStyle w:val="SingleTxt"/>
        <w:spacing w:after="0" w:line="120" w:lineRule="exact"/>
        <w:rPr>
          <w:sz w:val="10"/>
          <w:lang w:val="en-US"/>
        </w:rPr>
      </w:pPr>
    </w:p>
    <w:p w14:paraId="312ADBFE" w14:textId="77777777" w:rsidR="003A53B3" w:rsidRPr="00A53689" w:rsidRDefault="003A53B3" w:rsidP="001B7A02">
      <w:pPr>
        <w:pStyle w:val="SingleTxt"/>
        <w:spacing w:after="0" w:line="120" w:lineRule="exact"/>
        <w:rPr>
          <w:sz w:val="10"/>
          <w:lang w:val="en-US"/>
        </w:rPr>
        <w:sectPr w:rsidR="003A53B3" w:rsidRPr="00A53689" w:rsidSect="00914824">
          <w:endnotePr>
            <w:numFmt w:val="decimal"/>
          </w:endnotePr>
          <w:pgSz w:w="12240" w:h="15840"/>
          <w:pgMar w:top="1440" w:right="1195" w:bottom="1152" w:left="1195" w:header="432" w:footer="504" w:gutter="0"/>
          <w:cols w:space="720"/>
          <w:noEndnote/>
          <w:docGrid w:linePitch="360"/>
        </w:sectPr>
      </w:pPr>
    </w:p>
    <w:tbl>
      <w:tblPr>
        <w:tblW w:w="5000" w:type="pct"/>
        <w:tblCellMar>
          <w:left w:w="0" w:type="dxa"/>
          <w:right w:w="0" w:type="dxa"/>
        </w:tblCellMar>
        <w:tblLook w:val="04A0" w:firstRow="1" w:lastRow="0" w:firstColumn="1" w:lastColumn="0" w:noHBand="0" w:noVBand="1"/>
      </w:tblPr>
      <w:tblGrid>
        <w:gridCol w:w="1260"/>
        <w:gridCol w:w="3545"/>
      </w:tblGrid>
      <w:tr w:rsidR="003A53B3" w:rsidRPr="00A53689" w14:paraId="4FAD1D9B" w14:textId="77777777" w:rsidTr="00674BD1">
        <w:tc>
          <w:tcPr>
            <w:tcW w:w="1311" w:type="pct"/>
          </w:tcPr>
          <w:bookmarkStart w:id="2" w:name="_Hlk31296330"/>
          <w:p w14:paraId="1BFFB177" w14:textId="150B4C4B" w:rsidR="003A53B3" w:rsidRPr="00A53689" w:rsidRDefault="00A53689" w:rsidP="003A53B3">
            <w:pPr>
              <w:spacing w:before="40" w:after="40" w:line="200" w:lineRule="exact"/>
              <w:ind w:right="43"/>
              <w:rPr>
                <w:rStyle w:val="Hyperlink"/>
                <w:rFonts w:eastAsia="Times New Roman"/>
                <w:color w:val="0070C0"/>
                <w:sz w:val="17"/>
                <w:szCs w:val="17"/>
              </w:rPr>
            </w:pPr>
            <w:r>
              <w:rPr>
                <w:rStyle w:val="Hyperlink"/>
                <w:rFonts w:eastAsia="Times New Roman"/>
                <w:color w:val="auto"/>
                <w:sz w:val="17"/>
                <w:szCs w:val="17"/>
              </w:rPr>
              <w:fldChar w:fldCharType="begin"/>
            </w:r>
            <w:r>
              <w:rPr>
                <w:rStyle w:val="Hyperlink"/>
                <w:rFonts w:eastAsia="Times New Roman"/>
                <w:color w:val="auto"/>
                <w:sz w:val="17"/>
                <w:szCs w:val="17"/>
              </w:rPr>
              <w:instrText xml:space="preserve"> HYPERLINK "https://undocs.org/en/A/RES/3327(XXIX)" </w:instrText>
            </w:r>
            <w:r>
              <w:rPr>
                <w:rStyle w:val="Hyperlink"/>
                <w:rFonts w:eastAsia="Times New Roman"/>
                <w:color w:val="auto"/>
                <w:sz w:val="17"/>
                <w:szCs w:val="17"/>
              </w:rPr>
              <w:fldChar w:fldCharType="separate"/>
            </w:r>
            <w:r w:rsidR="003A53B3" w:rsidRPr="00A53689">
              <w:rPr>
                <w:rStyle w:val="Hyperlink"/>
                <w:rFonts w:eastAsia="Times New Roman"/>
                <w:sz w:val="17"/>
                <w:szCs w:val="17"/>
              </w:rPr>
              <w:t>3327 (XXIX)</w:t>
            </w:r>
            <w:r>
              <w:rPr>
                <w:rStyle w:val="Hyperlink"/>
                <w:rFonts w:eastAsia="Times New Roman"/>
                <w:color w:val="auto"/>
                <w:sz w:val="17"/>
                <w:szCs w:val="17"/>
              </w:rPr>
              <w:fldChar w:fldCharType="end"/>
            </w:r>
          </w:p>
        </w:tc>
        <w:tc>
          <w:tcPr>
            <w:tcW w:w="3689" w:type="pct"/>
          </w:tcPr>
          <w:p w14:paraId="3B47E1C5" w14:textId="4FC40D75"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Establishment of the United Nations Habitat and Human Settlements Foundation</w:t>
            </w:r>
          </w:p>
        </w:tc>
      </w:tr>
      <w:tr w:rsidR="003A53B3" w:rsidRPr="00A53689" w14:paraId="213D0CE1" w14:textId="77777777" w:rsidTr="00674BD1">
        <w:tc>
          <w:tcPr>
            <w:tcW w:w="1311" w:type="pct"/>
          </w:tcPr>
          <w:p w14:paraId="3F559162" w14:textId="6D7A944A" w:rsidR="003A53B3" w:rsidRPr="00A53689" w:rsidRDefault="0078207D" w:rsidP="003A53B3">
            <w:pPr>
              <w:spacing w:before="40" w:after="40" w:line="200" w:lineRule="exact"/>
              <w:ind w:right="43"/>
              <w:rPr>
                <w:rStyle w:val="Hyperlink"/>
                <w:rFonts w:eastAsia="Times New Roman"/>
                <w:color w:val="0070C0"/>
                <w:sz w:val="17"/>
                <w:szCs w:val="17"/>
              </w:rPr>
            </w:pPr>
            <w:hyperlink r:id="rId30" w:history="1">
              <w:r w:rsidR="003A53B3" w:rsidRPr="00A53689">
                <w:rPr>
                  <w:rStyle w:val="Hyperlink"/>
                  <w:rFonts w:eastAsia="Times New Roman"/>
                  <w:sz w:val="17"/>
                  <w:szCs w:val="17"/>
                </w:rPr>
                <w:t>34/114</w:t>
              </w:r>
            </w:hyperlink>
          </w:p>
        </w:tc>
        <w:tc>
          <w:tcPr>
            <w:tcW w:w="3689" w:type="pct"/>
          </w:tcPr>
          <w:p w14:paraId="50B740C8" w14:textId="2F4526E2"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Global report on human settlements and periodic reports on international cooperation and assistance on human settlements</w:t>
            </w:r>
          </w:p>
        </w:tc>
      </w:tr>
      <w:tr w:rsidR="003A53B3" w:rsidRPr="00A53689" w14:paraId="6E2350DF" w14:textId="77777777" w:rsidTr="00674BD1">
        <w:tc>
          <w:tcPr>
            <w:tcW w:w="1311" w:type="pct"/>
          </w:tcPr>
          <w:p w14:paraId="3E23CD82" w14:textId="1297B9D2" w:rsidR="003A53B3" w:rsidRPr="00A53689" w:rsidRDefault="0078207D" w:rsidP="003A53B3">
            <w:pPr>
              <w:spacing w:before="40" w:after="40" w:line="200" w:lineRule="exact"/>
              <w:ind w:right="43"/>
              <w:rPr>
                <w:rStyle w:val="Hyperlink"/>
                <w:rFonts w:eastAsia="Times New Roman"/>
                <w:color w:val="0070C0"/>
                <w:sz w:val="17"/>
                <w:szCs w:val="17"/>
              </w:rPr>
            </w:pPr>
            <w:hyperlink r:id="rId31" w:history="1">
              <w:r w:rsidR="003A53B3" w:rsidRPr="00A53689">
                <w:rPr>
                  <w:rStyle w:val="Hyperlink"/>
                  <w:rFonts w:eastAsia="Times New Roman"/>
                  <w:sz w:val="17"/>
                  <w:szCs w:val="17"/>
                </w:rPr>
                <w:t>53/242</w:t>
              </w:r>
            </w:hyperlink>
          </w:p>
        </w:tc>
        <w:tc>
          <w:tcPr>
            <w:tcW w:w="3689" w:type="pct"/>
          </w:tcPr>
          <w:p w14:paraId="7E8FCFC9" w14:textId="0AF17CBA"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Report of the Secretary-General on environment and human settlements</w:t>
            </w:r>
          </w:p>
        </w:tc>
      </w:tr>
      <w:tr w:rsidR="003A53B3" w:rsidRPr="00A53689" w14:paraId="390104D3" w14:textId="77777777" w:rsidTr="00674BD1">
        <w:tc>
          <w:tcPr>
            <w:tcW w:w="1311" w:type="pct"/>
          </w:tcPr>
          <w:p w14:paraId="5BE268C8" w14:textId="61C06628" w:rsidR="003A53B3" w:rsidRPr="00A53689" w:rsidRDefault="0078207D" w:rsidP="003A53B3">
            <w:pPr>
              <w:spacing w:before="40" w:after="40" w:line="200" w:lineRule="exact"/>
              <w:ind w:right="43"/>
              <w:rPr>
                <w:rStyle w:val="Hyperlink"/>
                <w:rFonts w:eastAsia="Times New Roman"/>
                <w:color w:val="0070C0"/>
                <w:sz w:val="17"/>
                <w:szCs w:val="17"/>
              </w:rPr>
            </w:pPr>
            <w:hyperlink r:id="rId32" w:history="1">
              <w:r w:rsidR="003A53B3" w:rsidRPr="00A53689">
                <w:rPr>
                  <w:rStyle w:val="Hyperlink"/>
                  <w:rFonts w:eastAsia="Times New Roman"/>
                  <w:sz w:val="17"/>
                  <w:szCs w:val="17"/>
                </w:rPr>
                <w:t>55/2</w:t>
              </w:r>
            </w:hyperlink>
          </w:p>
        </w:tc>
        <w:tc>
          <w:tcPr>
            <w:tcW w:w="3689" w:type="pct"/>
          </w:tcPr>
          <w:p w14:paraId="17DA9E8B" w14:textId="6D4AB021"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United Nations Millennium Declaration</w:t>
            </w:r>
          </w:p>
        </w:tc>
      </w:tr>
      <w:tr w:rsidR="003A53B3" w:rsidRPr="00A53689" w14:paraId="6B42F774" w14:textId="77777777" w:rsidTr="00674BD1">
        <w:tc>
          <w:tcPr>
            <w:tcW w:w="1311" w:type="pct"/>
          </w:tcPr>
          <w:p w14:paraId="7722F3AE" w14:textId="2D1C0791" w:rsidR="003A53B3" w:rsidRPr="00A53689" w:rsidRDefault="0078207D" w:rsidP="003A53B3">
            <w:pPr>
              <w:spacing w:before="40" w:after="40" w:line="200" w:lineRule="exact"/>
              <w:ind w:right="43"/>
              <w:rPr>
                <w:rStyle w:val="Hyperlink"/>
                <w:rFonts w:eastAsia="Times New Roman"/>
                <w:color w:val="0070C0"/>
                <w:sz w:val="17"/>
                <w:szCs w:val="17"/>
              </w:rPr>
            </w:pPr>
            <w:hyperlink r:id="rId33" w:history="1">
              <w:r w:rsidR="003A53B3" w:rsidRPr="00A53689">
                <w:rPr>
                  <w:rStyle w:val="Hyperlink"/>
                  <w:rFonts w:eastAsia="Times New Roman"/>
                  <w:sz w:val="17"/>
                  <w:szCs w:val="17"/>
                </w:rPr>
                <w:t>S-25/2</w:t>
              </w:r>
            </w:hyperlink>
          </w:p>
        </w:tc>
        <w:tc>
          <w:tcPr>
            <w:tcW w:w="3689" w:type="pct"/>
          </w:tcPr>
          <w:p w14:paraId="12EB6308" w14:textId="6553C38B"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Declaration on Cities and Other Human Settlements in the New Millennium</w:t>
            </w:r>
          </w:p>
        </w:tc>
      </w:tr>
      <w:tr w:rsidR="003A53B3" w:rsidRPr="00A53689" w14:paraId="36F8E4D2" w14:textId="77777777" w:rsidTr="00674BD1">
        <w:tc>
          <w:tcPr>
            <w:tcW w:w="1311" w:type="pct"/>
          </w:tcPr>
          <w:p w14:paraId="031C1D46" w14:textId="275B02E5" w:rsidR="003A53B3" w:rsidRPr="00A53689" w:rsidRDefault="0078207D" w:rsidP="003A53B3">
            <w:pPr>
              <w:spacing w:before="40" w:after="40" w:line="200" w:lineRule="exact"/>
              <w:ind w:right="43"/>
              <w:rPr>
                <w:rStyle w:val="Hyperlink"/>
                <w:rFonts w:eastAsia="Times New Roman"/>
                <w:color w:val="0070C0"/>
                <w:sz w:val="17"/>
                <w:szCs w:val="17"/>
              </w:rPr>
            </w:pPr>
            <w:hyperlink r:id="rId34" w:history="1">
              <w:r w:rsidR="003A53B3" w:rsidRPr="00A53689">
                <w:rPr>
                  <w:rStyle w:val="Hyperlink"/>
                  <w:rFonts w:eastAsia="Times New Roman"/>
                  <w:sz w:val="17"/>
                  <w:szCs w:val="17"/>
                </w:rPr>
                <w:t>56/206</w:t>
              </w:r>
            </w:hyperlink>
          </w:p>
        </w:tc>
        <w:tc>
          <w:tcPr>
            <w:tcW w:w="3689" w:type="pct"/>
          </w:tcPr>
          <w:p w14:paraId="689BAAEB" w14:textId="59819884"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Strengthening the mandate and status of the Commission on Human Settlements and the status, role and functions of the United Nations Centre for Human Settlements (Habitat)</w:t>
            </w:r>
          </w:p>
        </w:tc>
      </w:tr>
      <w:tr w:rsidR="003A53B3" w:rsidRPr="00A53689" w14:paraId="310C27BD" w14:textId="77777777" w:rsidTr="00674BD1">
        <w:tc>
          <w:tcPr>
            <w:tcW w:w="1311" w:type="pct"/>
          </w:tcPr>
          <w:p w14:paraId="056F28E8" w14:textId="698ACE06" w:rsidR="003A53B3" w:rsidRPr="00A53689" w:rsidRDefault="0078207D" w:rsidP="003A53B3">
            <w:pPr>
              <w:spacing w:before="40" w:after="40" w:line="200" w:lineRule="exact"/>
              <w:ind w:right="43"/>
              <w:rPr>
                <w:rStyle w:val="Hyperlink"/>
                <w:rFonts w:eastAsia="Times New Roman"/>
                <w:color w:val="0070C0"/>
                <w:sz w:val="17"/>
                <w:szCs w:val="17"/>
              </w:rPr>
            </w:pPr>
            <w:hyperlink r:id="rId35" w:history="1">
              <w:r w:rsidR="003A53B3" w:rsidRPr="00A53689">
                <w:rPr>
                  <w:rStyle w:val="Hyperlink"/>
                  <w:rFonts w:eastAsia="Times New Roman"/>
                  <w:sz w:val="17"/>
                  <w:szCs w:val="17"/>
                </w:rPr>
                <w:t>70/1</w:t>
              </w:r>
            </w:hyperlink>
          </w:p>
        </w:tc>
        <w:tc>
          <w:tcPr>
            <w:tcW w:w="3689" w:type="pct"/>
          </w:tcPr>
          <w:p w14:paraId="1480ECE1" w14:textId="5BC4E4CE"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Transforming our world: the 2030 Agenda for Sustainable Development</w:t>
            </w:r>
          </w:p>
        </w:tc>
      </w:tr>
      <w:tr w:rsidR="003A53B3" w:rsidRPr="00A53689" w14:paraId="47782918" w14:textId="77777777" w:rsidTr="00674BD1">
        <w:tc>
          <w:tcPr>
            <w:tcW w:w="1311" w:type="pct"/>
          </w:tcPr>
          <w:p w14:paraId="3A5D59BF" w14:textId="0D0EBD49" w:rsidR="003A53B3" w:rsidRPr="00A53689" w:rsidRDefault="0078207D" w:rsidP="003A53B3">
            <w:pPr>
              <w:spacing w:before="40" w:after="40" w:line="200" w:lineRule="exact"/>
              <w:ind w:right="43"/>
              <w:rPr>
                <w:rStyle w:val="Hyperlink"/>
                <w:rFonts w:eastAsia="Times New Roman"/>
                <w:color w:val="0070C0"/>
                <w:sz w:val="17"/>
                <w:szCs w:val="17"/>
              </w:rPr>
            </w:pPr>
            <w:hyperlink r:id="rId36" w:history="1">
              <w:r w:rsidR="003A53B3" w:rsidRPr="00A53689">
                <w:rPr>
                  <w:rStyle w:val="Hyperlink"/>
                  <w:rFonts w:eastAsia="Times New Roman"/>
                  <w:sz w:val="17"/>
                  <w:szCs w:val="17"/>
                </w:rPr>
                <w:t>71/256</w:t>
              </w:r>
            </w:hyperlink>
          </w:p>
        </w:tc>
        <w:tc>
          <w:tcPr>
            <w:tcW w:w="3689" w:type="pct"/>
          </w:tcPr>
          <w:p w14:paraId="2A48D74B" w14:textId="76FB333B"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New Urban Agenda</w:t>
            </w:r>
          </w:p>
        </w:tc>
      </w:tr>
      <w:tr w:rsidR="003A53B3" w:rsidRPr="00A53689" w14:paraId="6703CDB2" w14:textId="77777777" w:rsidTr="00674BD1">
        <w:tc>
          <w:tcPr>
            <w:tcW w:w="1311" w:type="pct"/>
          </w:tcPr>
          <w:p w14:paraId="67CD572E" w14:textId="09804BBA" w:rsidR="003A53B3" w:rsidRPr="00A53689" w:rsidRDefault="0078207D" w:rsidP="003A53B3">
            <w:pPr>
              <w:spacing w:before="40" w:after="40" w:line="200" w:lineRule="exact"/>
              <w:ind w:right="43"/>
              <w:rPr>
                <w:rStyle w:val="Hyperlink"/>
                <w:rFonts w:eastAsia="Times New Roman"/>
                <w:color w:val="0070C0"/>
                <w:sz w:val="17"/>
                <w:szCs w:val="17"/>
              </w:rPr>
            </w:pPr>
            <w:hyperlink r:id="rId37" w:history="1">
              <w:r w:rsidR="003A53B3" w:rsidRPr="00A53689">
                <w:rPr>
                  <w:rStyle w:val="Hyperlink"/>
                  <w:rFonts w:eastAsia="Times New Roman"/>
                  <w:sz w:val="17"/>
                  <w:szCs w:val="17"/>
                </w:rPr>
                <w:t>72/146</w:t>
              </w:r>
            </w:hyperlink>
          </w:p>
        </w:tc>
        <w:tc>
          <w:tcPr>
            <w:tcW w:w="3689" w:type="pct"/>
          </w:tcPr>
          <w:p w14:paraId="4B967B44" w14:textId="08C6321B"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Policies and programmes involving youth</w:t>
            </w:r>
          </w:p>
        </w:tc>
      </w:tr>
      <w:tr w:rsidR="003A53B3" w:rsidRPr="00A53689" w14:paraId="2AF5B9DC" w14:textId="77777777" w:rsidTr="00674BD1">
        <w:tc>
          <w:tcPr>
            <w:tcW w:w="1311" w:type="pct"/>
          </w:tcPr>
          <w:p w14:paraId="17F71862" w14:textId="19E5C682" w:rsidR="003A53B3" w:rsidRPr="00A53689" w:rsidRDefault="0078207D" w:rsidP="003A53B3">
            <w:pPr>
              <w:spacing w:before="40" w:after="40" w:line="200" w:lineRule="exact"/>
              <w:ind w:right="43"/>
              <w:rPr>
                <w:rStyle w:val="Hyperlink"/>
                <w:rFonts w:eastAsia="Times New Roman"/>
                <w:color w:val="0070C0"/>
                <w:sz w:val="17"/>
                <w:szCs w:val="17"/>
              </w:rPr>
            </w:pPr>
            <w:hyperlink r:id="rId38" w:history="1">
              <w:r w:rsidR="003A53B3" w:rsidRPr="00A53689">
                <w:rPr>
                  <w:rStyle w:val="Hyperlink"/>
                  <w:rFonts w:eastAsia="Times New Roman"/>
                  <w:sz w:val="17"/>
                  <w:szCs w:val="17"/>
                </w:rPr>
                <w:t>72/234</w:t>
              </w:r>
            </w:hyperlink>
          </w:p>
        </w:tc>
        <w:tc>
          <w:tcPr>
            <w:tcW w:w="3689" w:type="pct"/>
          </w:tcPr>
          <w:p w14:paraId="7D6F1E98" w14:textId="367CEF48"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Women in development</w:t>
            </w:r>
          </w:p>
        </w:tc>
      </w:tr>
      <w:tr w:rsidR="003A53B3" w:rsidRPr="00A53689" w14:paraId="2E3C6A43" w14:textId="77777777" w:rsidTr="00674BD1">
        <w:tc>
          <w:tcPr>
            <w:tcW w:w="1311" w:type="pct"/>
          </w:tcPr>
          <w:p w14:paraId="2FE80484" w14:textId="1EFD3BF3" w:rsidR="003A53B3" w:rsidRPr="00A53689" w:rsidRDefault="0078207D" w:rsidP="003A53B3">
            <w:pPr>
              <w:spacing w:before="40" w:after="40" w:line="200" w:lineRule="exact"/>
              <w:ind w:right="43"/>
              <w:rPr>
                <w:rStyle w:val="Hyperlink"/>
                <w:rFonts w:eastAsia="Times New Roman"/>
                <w:color w:val="0070C0"/>
                <w:sz w:val="17"/>
                <w:szCs w:val="17"/>
              </w:rPr>
            </w:pPr>
            <w:hyperlink r:id="rId39" w:history="1">
              <w:r w:rsidR="003A53B3" w:rsidRPr="00A53689">
                <w:rPr>
                  <w:rStyle w:val="Hyperlink"/>
                  <w:rFonts w:eastAsia="Times New Roman"/>
                  <w:sz w:val="17"/>
                  <w:szCs w:val="17"/>
                </w:rPr>
                <w:t>75/212</w:t>
              </w:r>
            </w:hyperlink>
          </w:p>
        </w:tc>
        <w:tc>
          <w:tcPr>
            <w:tcW w:w="3689" w:type="pct"/>
          </w:tcPr>
          <w:p w14:paraId="7301FC63" w14:textId="68F84F05"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 xml:space="preserve">United Nations Conference on the Midterm Comprehensive Review of the Implementation of the Objectives of the International Decade for Action, </w:t>
            </w:r>
            <w:r w:rsidR="000065AA" w:rsidRPr="00A53689">
              <w:rPr>
                <w:color w:val="000000" w:themeColor="text1"/>
                <w:sz w:val="17"/>
                <w:szCs w:val="17"/>
              </w:rPr>
              <w:t>“</w:t>
            </w:r>
            <w:r w:rsidRPr="00A53689">
              <w:rPr>
                <w:color w:val="000000" w:themeColor="text1"/>
                <w:sz w:val="17"/>
                <w:szCs w:val="17"/>
              </w:rPr>
              <w:t>Water for Sustainable Development</w:t>
            </w:r>
            <w:r w:rsidR="000065AA" w:rsidRPr="00A53689">
              <w:rPr>
                <w:color w:val="000000" w:themeColor="text1"/>
                <w:sz w:val="17"/>
                <w:szCs w:val="17"/>
              </w:rPr>
              <w:t>”</w:t>
            </w:r>
            <w:r w:rsidRPr="00A53689">
              <w:rPr>
                <w:color w:val="000000" w:themeColor="text1"/>
                <w:sz w:val="17"/>
                <w:szCs w:val="17"/>
              </w:rPr>
              <w:t>, 2018–2028</w:t>
            </w:r>
          </w:p>
        </w:tc>
      </w:tr>
      <w:tr w:rsidR="003A53B3" w:rsidRPr="00A53689" w14:paraId="29F5FE3B" w14:textId="77777777" w:rsidTr="00674BD1">
        <w:tc>
          <w:tcPr>
            <w:tcW w:w="1311" w:type="pct"/>
          </w:tcPr>
          <w:p w14:paraId="5EC54F66" w14:textId="73F1A121" w:rsidR="003A53B3" w:rsidRPr="00A53689" w:rsidRDefault="0078207D" w:rsidP="003A53B3">
            <w:pPr>
              <w:spacing w:before="40" w:after="40" w:line="200" w:lineRule="exact"/>
              <w:ind w:right="43"/>
              <w:rPr>
                <w:rStyle w:val="Hyperlink"/>
                <w:rFonts w:eastAsia="Times New Roman"/>
                <w:color w:val="0070C0"/>
                <w:sz w:val="17"/>
                <w:szCs w:val="17"/>
              </w:rPr>
            </w:pPr>
            <w:hyperlink r:id="rId40" w:history="1">
              <w:r w:rsidR="003A53B3" w:rsidRPr="00A53689">
                <w:rPr>
                  <w:rStyle w:val="Hyperlink"/>
                  <w:rFonts w:eastAsia="Times New Roman"/>
                  <w:sz w:val="17"/>
                  <w:szCs w:val="17"/>
                </w:rPr>
                <w:t>75/221</w:t>
              </w:r>
            </w:hyperlink>
          </w:p>
        </w:tc>
        <w:tc>
          <w:tcPr>
            <w:tcW w:w="3689" w:type="pct"/>
          </w:tcPr>
          <w:p w14:paraId="5283EBB2" w14:textId="469AB371"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Ensuring access to affordable, reliable, sustainable and modern energy for all</w:t>
            </w:r>
          </w:p>
        </w:tc>
      </w:tr>
      <w:tr w:rsidR="003A53B3" w:rsidRPr="00A53689" w14:paraId="38F9E209" w14:textId="77777777" w:rsidTr="00674BD1">
        <w:tc>
          <w:tcPr>
            <w:tcW w:w="1311" w:type="pct"/>
          </w:tcPr>
          <w:p w14:paraId="5D26ECDB" w14:textId="17BF769C" w:rsidR="003A53B3" w:rsidRPr="00A53689" w:rsidRDefault="0078207D" w:rsidP="003A53B3">
            <w:pPr>
              <w:spacing w:before="40" w:after="40" w:line="200" w:lineRule="exact"/>
              <w:ind w:right="43"/>
              <w:rPr>
                <w:rStyle w:val="Hyperlink"/>
                <w:rFonts w:eastAsia="Times New Roman"/>
                <w:color w:val="0070C0"/>
                <w:sz w:val="17"/>
                <w:szCs w:val="17"/>
              </w:rPr>
            </w:pPr>
            <w:hyperlink r:id="rId41" w:history="1">
              <w:r w:rsidR="003A53B3" w:rsidRPr="00A53689">
                <w:rPr>
                  <w:rStyle w:val="Hyperlink"/>
                  <w:rFonts w:eastAsia="Times New Roman"/>
                  <w:sz w:val="17"/>
                  <w:szCs w:val="17"/>
                </w:rPr>
                <w:t>75/224</w:t>
              </w:r>
            </w:hyperlink>
          </w:p>
        </w:tc>
        <w:tc>
          <w:tcPr>
            <w:tcW w:w="3689" w:type="pct"/>
          </w:tcPr>
          <w:p w14:paraId="39597C14" w14:textId="37E2E253" w:rsidR="003A53B3" w:rsidRPr="00A53689" w:rsidRDefault="003A53B3" w:rsidP="003A53B3">
            <w:pPr>
              <w:tabs>
                <w:tab w:val="left" w:pos="288"/>
                <w:tab w:val="left" w:pos="576"/>
                <w:tab w:val="left" w:pos="864"/>
                <w:tab w:val="left" w:pos="1152"/>
              </w:tabs>
              <w:spacing w:before="40" w:after="40" w:line="200" w:lineRule="exact"/>
              <w:ind w:left="86" w:right="43"/>
              <w:contextualSpacing/>
              <w:rPr>
                <w:color w:val="000000" w:themeColor="text1"/>
                <w:sz w:val="17"/>
                <w:szCs w:val="17"/>
              </w:rPr>
            </w:pPr>
            <w:r w:rsidRPr="00A53689">
              <w:rPr>
                <w:color w:val="000000" w:themeColor="text1"/>
                <w:sz w:val="17"/>
                <w:szCs w:val="17"/>
              </w:rPr>
              <w:t>Implementation of the outcomes of the United Nations Conferences on Human Settlements and on Housing and Sustainable Urban Development and strengthening of the United Nations Human Settlements Programme (UN-Habitat)</w:t>
            </w:r>
          </w:p>
        </w:tc>
      </w:tr>
      <w:bookmarkEnd w:id="2"/>
    </w:tbl>
    <w:p w14:paraId="5BFE3469" w14:textId="77777777" w:rsidR="003A53B3" w:rsidRPr="00A53689" w:rsidRDefault="003A53B3" w:rsidP="00EF59C0">
      <w:pPr>
        <w:pStyle w:val="DualTxt"/>
        <w:spacing w:after="0" w:line="240" w:lineRule="auto"/>
        <w:rPr>
          <w:sz w:val="2"/>
          <w:lang w:val="en-US"/>
        </w:rPr>
        <w:sectPr w:rsidR="003A53B3" w:rsidRPr="00A53689" w:rsidSect="003A53B3">
          <w:endnotePr>
            <w:numFmt w:val="decimal"/>
          </w:endnotePr>
          <w:type w:val="continuous"/>
          <w:pgSz w:w="12240" w:h="15840"/>
          <w:pgMar w:top="1440" w:right="1195" w:bottom="1152" w:left="1195" w:header="432" w:footer="504" w:gutter="0"/>
          <w:cols w:num="2" w:space="240"/>
          <w:noEndnote/>
          <w:docGrid w:linePitch="360"/>
        </w:sectPr>
      </w:pPr>
    </w:p>
    <w:p w14:paraId="601D847F" w14:textId="2D644533" w:rsidR="001B7A02" w:rsidRPr="00A53689" w:rsidRDefault="001B7A02" w:rsidP="003A53B3">
      <w:pPr>
        <w:pStyle w:val="SingleTxt"/>
        <w:spacing w:after="0" w:line="120" w:lineRule="exact"/>
        <w:rPr>
          <w:sz w:val="10"/>
          <w:lang w:val="en-US"/>
        </w:rPr>
      </w:pPr>
    </w:p>
    <w:p w14:paraId="7ABF737D" w14:textId="4D462E64" w:rsidR="003A53B3" w:rsidRPr="00A53689" w:rsidRDefault="00EF59C0" w:rsidP="00EF59C0">
      <w:pPr>
        <w:pStyle w:val="H4"/>
        <w:ind w:right="1260"/>
        <w:rPr>
          <w:lang w:val="en-US"/>
        </w:rPr>
      </w:pPr>
      <w:r w:rsidRPr="00A53689">
        <w:rPr>
          <w:lang w:val="en-US"/>
        </w:rPr>
        <w:t>UN-Habitat Assembly resolutions and decisions</w:t>
      </w:r>
    </w:p>
    <w:p w14:paraId="186E9204" w14:textId="43B74689" w:rsidR="00EF59C0" w:rsidRPr="00A53689" w:rsidRDefault="00EF59C0" w:rsidP="00EF59C0">
      <w:pPr>
        <w:pStyle w:val="SingleTxt"/>
        <w:spacing w:after="0" w:line="120" w:lineRule="exact"/>
        <w:rPr>
          <w:sz w:val="10"/>
          <w:lang w:val="en-US"/>
        </w:rPr>
      </w:pPr>
    </w:p>
    <w:p w14:paraId="1EAB85E7" w14:textId="77777777" w:rsidR="00EF59C0" w:rsidRPr="00A53689" w:rsidRDefault="00EF59C0" w:rsidP="00EF59C0">
      <w:pPr>
        <w:pStyle w:val="SingleTxt"/>
        <w:spacing w:after="0" w:line="120" w:lineRule="exact"/>
        <w:rPr>
          <w:sz w:val="10"/>
          <w:lang w:val="en-US"/>
        </w:rPr>
        <w:sectPr w:rsidR="00EF59C0" w:rsidRPr="00A53689" w:rsidSect="003A53B3">
          <w:endnotePr>
            <w:numFmt w:val="decimal"/>
          </w:endnotePr>
          <w:type w:val="continuous"/>
          <w:pgSz w:w="12240" w:h="15840"/>
          <w:pgMar w:top="1440" w:right="1195" w:bottom="1152" w:left="1195" w:header="432" w:footer="504" w:gutter="0"/>
          <w:cols w:space="720"/>
          <w:noEndnote/>
          <w:docGrid w:linePitch="360"/>
        </w:sectPr>
      </w:pPr>
    </w:p>
    <w:tbl>
      <w:tblPr>
        <w:tblW w:w="5000" w:type="pct"/>
        <w:tblCellMar>
          <w:left w:w="0" w:type="dxa"/>
          <w:right w:w="0" w:type="dxa"/>
        </w:tblCellMar>
        <w:tblLook w:val="04A0" w:firstRow="1" w:lastRow="0" w:firstColumn="1" w:lastColumn="0" w:noHBand="0" w:noVBand="1"/>
      </w:tblPr>
      <w:tblGrid>
        <w:gridCol w:w="1260"/>
        <w:gridCol w:w="3545"/>
      </w:tblGrid>
      <w:tr w:rsidR="00EF59C0" w:rsidRPr="00A53689" w14:paraId="6F760869" w14:textId="77777777" w:rsidTr="00674BD1">
        <w:tc>
          <w:tcPr>
            <w:tcW w:w="1311" w:type="pct"/>
          </w:tcPr>
          <w:p w14:paraId="7AF39B5B" w14:textId="7A676F8B" w:rsidR="00EF59C0" w:rsidRPr="00A53689" w:rsidRDefault="00EF59C0" w:rsidP="00EF59C0">
            <w:pPr>
              <w:spacing w:before="40" w:after="40" w:line="200" w:lineRule="exact"/>
              <w:ind w:right="43"/>
              <w:rPr>
                <w:color w:val="000000" w:themeColor="text1"/>
                <w:sz w:val="17"/>
                <w:szCs w:val="17"/>
              </w:rPr>
            </w:pPr>
            <w:r w:rsidRPr="00A53689">
              <w:rPr>
                <w:color w:val="000000" w:themeColor="text1"/>
                <w:sz w:val="17"/>
                <w:szCs w:val="17"/>
              </w:rPr>
              <w:t>1/1</w:t>
            </w:r>
          </w:p>
        </w:tc>
        <w:tc>
          <w:tcPr>
            <w:tcW w:w="3689" w:type="pct"/>
          </w:tcPr>
          <w:p w14:paraId="6E9BF0E9" w14:textId="2A7D16BF" w:rsidR="00EF59C0" w:rsidRPr="00A53689" w:rsidRDefault="00EF59C0" w:rsidP="00EF59C0">
            <w:pPr>
              <w:tabs>
                <w:tab w:val="left" w:pos="288"/>
                <w:tab w:val="left" w:pos="576"/>
                <w:tab w:val="left" w:pos="864"/>
                <w:tab w:val="left" w:pos="1152"/>
              </w:tabs>
              <w:spacing w:before="40" w:after="40" w:line="200" w:lineRule="exact"/>
              <w:ind w:left="86"/>
              <w:contextualSpacing/>
              <w:rPr>
                <w:rFonts w:eastAsia="Times New Roman"/>
                <w:color w:val="000000" w:themeColor="text1"/>
                <w:kern w:val="0"/>
                <w:sz w:val="17"/>
                <w:szCs w:val="17"/>
              </w:rPr>
            </w:pPr>
            <w:r w:rsidRPr="00A53689">
              <w:rPr>
                <w:rFonts w:eastAsia="Times New Roman"/>
                <w:color w:val="000000" w:themeColor="text1"/>
                <w:kern w:val="0"/>
                <w:sz w:val="17"/>
                <w:szCs w:val="17"/>
              </w:rPr>
              <w:t>United Nations Human Settlements Programme strategic plan for the period 2020–2023</w:t>
            </w:r>
          </w:p>
        </w:tc>
      </w:tr>
      <w:tr w:rsidR="00EF59C0" w:rsidRPr="00A53689" w14:paraId="584481B8" w14:textId="77777777" w:rsidTr="00674BD1">
        <w:tc>
          <w:tcPr>
            <w:tcW w:w="1311" w:type="pct"/>
          </w:tcPr>
          <w:p w14:paraId="1E2DA865" w14:textId="6D2F32C9" w:rsidR="00EF59C0" w:rsidRPr="00A53689" w:rsidRDefault="00EF59C0" w:rsidP="00EF59C0">
            <w:pPr>
              <w:spacing w:before="40" w:after="40" w:line="200" w:lineRule="exact"/>
              <w:ind w:right="43"/>
              <w:rPr>
                <w:color w:val="000000" w:themeColor="text1"/>
                <w:sz w:val="17"/>
                <w:szCs w:val="17"/>
              </w:rPr>
            </w:pPr>
            <w:r w:rsidRPr="00A53689">
              <w:rPr>
                <w:color w:val="000000" w:themeColor="text1"/>
                <w:sz w:val="17"/>
                <w:szCs w:val="17"/>
              </w:rPr>
              <w:t>1/2</w:t>
            </w:r>
          </w:p>
        </w:tc>
        <w:tc>
          <w:tcPr>
            <w:tcW w:w="3689" w:type="pct"/>
          </w:tcPr>
          <w:p w14:paraId="58A1F518" w14:textId="1BDE5643" w:rsidR="00EF59C0" w:rsidRPr="00A53689" w:rsidRDefault="00EF59C0" w:rsidP="00EF59C0">
            <w:pPr>
              <w:tabs>
                <w:tab w:val="left" w:pos="288"/>
                <w:tab w:val="left" w:pos="576"/>
                <w:tab w:val="left" w:pos="864"/>
                <w:tab w:val="left" w:pos="1152"/>
              </w:tabs>
              <w:spacing w:before="40" w:after="40" w:line="200" w:lineRule="exact"/>
              <w:ind w:left="86"/>
              <w:contextualSpacing/>
              <w:rPr>
                <w:rFonts w:eastAsia="Times New Roman"/>
                <w:color w:val="000000" w:themeColor="text1"/>
                <w:kern w:val="0"/>
                <w:sz w:val="17"/>
                <w:szCs w:val="17"/>
              </w:rPr>
            </w:pPr>
            <w:r w:rsidRPr="00A53689">
              <w:rPr>
                <w:rFonts w:eastAsia="Times New Roman"/>
                <w:color w:val="000000" w:themeColor="text1"/>
                <w:kern w:val="0"/>
                <w:sz w:val="17"/>
                <w:szCs w:val="17"/>
              </w:rPr>
              <w:t>United Nations System-Wide Guidelines on Safer Cities and Human Settlements</w:t>
            </w:r>
          </w:p>
        </w:tc>
      </w:tr>
      <w:tr w:rsidR="00EF59C0" w:rsidRPr="00A53689" w14:paraId="6BFF6BB7" w14:textId="77777777" w:rsidTr="00674BD1">
        <w:tc>
          <w:tcPr>
            <w:tcW w:w="1311" w:type="pct"/>
          </w:tcPr>
          <w:p w14:paraId="57314E2D" w14:textId="46BC3CA2" w:rsidR="00EF59C0" w:rsidRPr="00A53689" w:rsidRDefault="00EF59C0" w:rsidP="00EF59C0">
            <w:pPr>
              <w:spacing w:before="40" w:after="40" w:line="200" w:lineRule="exact"/>
              <w:ind w:right="43"/>
              <w:rPr>
                <w:color w:val="000000" w:themeColor="text1"/>
                <w:sz w:val="17"/>
                <w:szCs w:val="17"/>
              </w:rPr>
            </w:pPr>
            <w:r w:rsidRPr="00A53689">
              <w:rPr>
                <w:color w:val="000000" w:themeColor="text1"/>
                <w:sz w:val="17"/>
                <w:szCs w:val="17"/>
              </w:rPr>
              <w:t>1/3</w:t>
            </w:r>
          </w:p>
        </w:tc>
        <w:tc>
          <w:tcPr>
            <w:tcW w:w="3689" w:type="pct"/>
          </w:tcPr>
          <w:p w14:paraId="1991087D" w14:textId="3B9FF6A5" w:rsidR="00EF59C0" w:rsidRPr="00A53689" w:rsidRDefault="00EF59C0" w:rsidP="00EF59C0">
            <w:pPr>
              <w:tabs>
                <w:tab w:val="left" w:pos="288"/>
                <w:tab w:val="left" w:pos="576"/>
                <w:tab w:val="left" w:pos="864"/>
                <w:tab w:val="left" w:pos="1152"/>
              </w:tabs>
              <w:spacing w:before="40" w:after="40" w:line="200" w:lineRule="exact"/>
              <w:ind w:left="86"/>
              <w:contextualSpacing/>
              <w:rPr>
                <w:rFonts w:eastAsia="Times New Roman"/>
                <w:color w:val="000000" w:themeColor="text1"/>
                <w:kern w:val="0"/>
                <w:sz w:val="17"/>
                <w:szCs w:val="17"/>
              </w:rPr>
            </w:pPr>
            <w:r w:rsidRPr="00A53689">
              <w:rPr>
                <w:rFonts w:eastAsia="Times New Roman"/>
                <w:color w:val="000000" w:themeColor="text1"/>
                <w:kern w:val="0"/>
                <w:sz w:val="17"/>
                <w:szCs w:val="17"/>
              </w:rPr>
              <w:t>Enhancing capacity-building for the implementation of the New Urban Agenda and the urban dimension of the 2030 Agenda for Sustainable Development</w:t>
            </w:r>
          </w:p>
        </w:tc>
      </w:tr>
      <w:tr w:rsidR="00EF59C0" w:rsidRPr="00A53689" w14:paraId="44035E67" w14:textId="77777777" w:rsidTr="00674BD1">
        <w:tc>
          <w:tcPr>
            <w:tcW w:w="1311" w:type="pct"/>
          </w:tcPr>
          <w:p w14:paraId="40D4302F" w14:textId="3E6EF72E" w:rsidR="00EF59C0" w:rsidRPr="00A53689" w:rsidRDefault="00EF59C0" w:rsidP="00EF59C0">
            <w:pPr>
              <w:keepNext/>
              <w:keepLines/>
              <w:spacing w:before="40" w:after="40" w:line="200" w:lineRule="exact"/>
              <w:ind w:right="43"/>
              <w:rPr>
                <w:color w:val="000000" w:themeColor="text1"/>
                <w:sz w:val="17"/>
                <w:szCs w:val="17"/>
              </w:rPr>
            </w:pPr>
            <w:r w:rsidRPr="00A53689">
              <w:rPr>
                <w:color w:val="000000" w:themeColor="text1"/>
                <w:sz w:val="17"/>
                <w:szCs w:val="17"/>
              </w:rPr>
              <w:t>1/4</w:t>
            </w:r>
          </w:p>
        </w:tc>
        <w:tc>
          <w:tcPr>
            <w:tcW w:w="3689" w:type="pct"/>
          </w:tcPr>
          <w:p w14:paraId="274959B6" w14:textId="27E715EA" w:rsidR="00EF59C0" w:rsidRPr="00A53689" w:rsidRDefault="00EF59C0" w:rsidP="00EF59C0">
            <w:pPr>
              <w:keepNext/>
              <w:keepLines/>
              <w:tabs>
                <w:tab w:val="left" w:pos="288"/>
                <w:tab w:val="left" w:pos="576"/>
                <w:tab w:val="left" w:pos="864"/>
                <w:tab w:val="left" w:pos="1152"/>
              </w:tabs>
              <w:spacing w:before="40" w:after="40" w:line="200" w:lineRule="exact"/>
              <w:ind w:left="86"/>
              <w:contextualSpacing/>
              <w:rPr>
                <w:rFonts w:eastAsia="Times New Roman"/>
                <w:color w:val="000000" w:themeColor="text1"/>
                <w:kern w:val="0"/>
                <w:sz w:val="17"/>
                <w:szCs w:val="17"/>
              </w:rPr>
            </w:pPr>
            <w:r w:rsidRPr="00A53689">
              <w:rPr>
                <w:rFonts w:eastAsia="Times New Roman"/>
                <w:color w:val="000000" w:themeColor="text1"/>
                <w:kern w:val="0"/>
                <w:sz w:val="17"/>
                <w:szCs w:val="17"/>
              </w:rPr>
              <w:t>Achieving gender equality through the work of the United Nations Human Settlements Programme to support inclusive, safe, resilient and sustainable cities and human settlements</w:t>
            </w:r>
          </w:p>
        </w:tc>
      </w:tr>
      <w:tr w:rsidR="00EF59C0" w:rsidRPr="00A53689" w14:paraId="5ED29F5A" w14:textId="77777777" w:rsidTr="00674BD1">
        <w:tc>
          <w:tcPr>
            <w:tcW w:w="1311" w:type="pct"/>
          </w:tcPr>
          <w:p w14:paraId="5049739A" w14:textId="420D81DE" w:rsidR="00EF59C0" w:rsidRPr="00A53689" w:rsidRDefault="00EF59C0" w:rsidP="00EF59C0">
            <w:pPr>
              <w:spacing w:before="40" w:after="40" w:line="200" w:lineRule="exact"/>
              <w:ind w:right="43"/>
              <w:rPr>
                <w:color w:val="000000" w:themeColor="text1"/>
                <w:sz w:val="17"/>
                <w:szCs w:val="17"/>
              </w:rPr>
            </w:pPr>
            <w:r w:rsidRPr="00A53689">
              <w:rPr>
                <w:color w:val="000000" w:themeColor="text1"/>
                <w:sz w:val="17"/>
                <w:szCs w:val="17"/>
              </w:rPr>
              <w:t>1/5</w:t>
            </w:r>
          </w:p>
        </w:tc>
        <w:tc>
          <w:tcPr>
            <w:tcW w:w="3689" w:type="pct"/>
          </w:tcPr>
          <w:p w14:paraId="2CE4C126" w14:textId="67408075" w:rsidR="00EF59C0" w:rsidRPr="00A53689" w:rsidRDefault="00EF59C0" w:rsidP="00EF59C0">
            <w:pPr>
              <w:tabs>
                <w:tab w:val="left" w:pos="288"/>
                <w:tab w:val="left" w:pos="576"/>
                <w:tab w:val="left" w:pos="864"/>
                <w:tab w:val="left" w:pos="1152"/>
              </w:tabs>
              <w:spacing w:before="40" w:after="40" w:line="200" w:lineRule="exact"/>
              <w:ind w:left="86"/>
              <w:contextualSpacing/>
              <w:rPr>
                <w:rFonts w:eastAsia="Times New Roman"/>
                <w:color w:val="000000" w:themeColor="text1"/>
                <w:kern w:val="0"/>
                <w:sz w:val="17"/>
                <w:szCs w:val="17"/>
              </w:rPr>
            </w:pPr>
            <w:r w:rsidRPr="00A53689">
              <w:rPr>
                <w:rFonts w:eastAsia="Times New Roman"/>
                <w:color w:val="000000" w:themeColor="text1"/>
                <w:kern w:val="0"/>
                <w:sz w:val="17"/>
                <w:szCs w:val="17"/>
              </w:rPr>
              <w:t xml:space="preserve">Enhancing urban-rural linkages for sustainable urbanization and human settlements </w:t>
            </w:r>
          </w:p>
        </w:tc>
      </w:tr>
      <w:tr w:rsidR="00EF59C0" w:rsidRPr="00A53689" w14:paraId="671395AD" w14:textId="77777777" w:rsidTr="00674BD1">
        <w:tc>
          <w:tcPr>
            <w:tcW w:w="1311" w:type="pct"/>
          </w:tcPr>
          <w:p w14:paraId="513823A6" w14:textId="3074BED5" w:rsidR="00EF59C0" w:rsidRPr="00A53689" w:rsidRDefault="00EF59C0" w:rsidP="00EF59C0">
            <w:pPr>
              <w:keepNext/>
              <w:keepLines/>
              <w:spacing w:before="40" w:after="40" w:line="200" w:lineRule="exact"/>
              <w:ind w:right="43"/>
              <w:rPr>
                <w:color w:val="000000" w:themeColor="text1"/>
                <w:sz w:val="17"/>
                <w:szCs w:val="17"/>
              </w:rPr>
            </w:pPr>
            <w:r w:rsidRPr="00A53689">
              <w:rPr>
                <w:color w:val="000000" w:themeColor="text1"/>
                <w:sz w:val="17"/>
                <w:szCs w:val="17"/>
              </w:rPr>
              <w:t>Decision 1/3</w:t>
            </w:r>
          </w:p>
        </w:tc>
        <w:tc>
          <w:tcPr>
            <w:tcW w:w="3689" w:type="pct"/>
          </w:tcPr>
          <w:p w14:paraId="71BC7CFB" w14:textId="086E39A5" w:rsidR="00EF59C0" w:rsidRPr="00A53689" w:rsidRDefault="00EF59C0" w:rsidP="00EF59C0">
            <w:pPr>
              <w:keepNext/>
              <w:keepLines/>
              <w:tabs>
                <w:tab w:val="left" w:pos="288"/>
                <w:tab w:val="left" w:pos="576"/>
                <w:tab w:val="left" w:pos="864"/>
                <w:tab w:val="left" w:pos="1152"/>
              </w:tabs>
              <w:spacing w:before="40" w:after="40" w:line="200" w:lineRule="exact"/>
              <w:ind w:left="86"/>
              <w:contextualSpacing/>
              <w:rPr>
                <w:rFonts w:eastAsia="Times New Roman"/>
                <w:color w:val="000000" w:themeColor="text1"/>
                <w:kern w:val="0"/>
                <w:sz w:val="17"/>
                <w:szCs w:val="17"/>
              </w:rPr>
            </w:pPr>
            <w:r w:rsidRPr="00A53689">
              <w:rPr>
                <w:rFonts w:eastAsia="Times New Roman"/>
                <w:color w:val="000000" w:themeColor="text1"/>
                <w:kern w:val="0"/>
                <w:sz w:val="17"/>
                <w:szCs w:val="17"/>
              </w:rPr>
              <w:t>Arrangements for the transition towards the new governance structure of the United Nations Human Settlements Programme</w:t>
            </w:r>
          </w:p>
        </w:tc>
      </w:tr>
    </w:tbl>
    <w:p w14:paraId="7C4F0282" w14:textId="4BE8572C" w:rsidR="00EF59C0" w:rsidRPr="00A53689" w:rsidRDefault="00EF59C0" w:rsidP="00EF59C0">
      <w:pPr>
        <w:pStyle w:val="DualTxt"/>
        <w:spacing w:after="0" w:line="240" w:lineRule="auto"/>
        <w:rPr>
          <w:sz w:val="2"/>
          <w:lang w:val="en-US"/>
        </w:rPr>
      </w:pPr>
    </w:p>
    <w:p w14:paraId="4BE40A33" w14:textId="77777777" w:rsidR="00EF59C0" w:rsidRPr="00A53689" w:rsidRDefault="00EF59C0" w:rsidP="00EF59C0">
      <w:pPr>
        <w:pStyle w:val="DualTxt"/>
        <w:rPr>
          <w:lang w:val="en-US"/>
        </w:rPr>
        <w:sectPr w:rsidR="00EF59C0" w:rsidRPr="00A53689" w:rsidSect="00EF59C0">
          <w:endnotePr>
            <w:numFmt w:val="decimal"/>
          </w:endnotePr>
          <w:type w:val="continuous"/>
          <w:pgSz w:w="12240" w:h="15840"/>
          <w:pgMar w:top="1440" w:right="1195" w:bottom="1152" w:left="1195" w:header="432" w:footer="504" w:gutter="0"/>
          <w:cols w:num="2" w:space="240"/>
          <w:noEndnote/>
          <w:docGrid w:linePitch="360"/>
        </w:sectPr>
      </w:pPr>
    </w:p>
    <w:p w14:paraId="2B65093A" w14:textId="06682803" w:rsidR="00EF59C0" w:rsidRPr="00A53689" w:rsidRDefault="00EF59C0" w:rsidP="00EF59C0">
      <w:pPr>
        <w:pStyle w:val="SingleTxt"/>
        <w:spacing w:after="0" w:line="120" w:lineRule="exact"/>
        <w:rPr>
          <w:sz w:val="10"/>
          <w:lang w:val="en-US"/>
        </w:rPr>
      </w:pPr>
    </w:p>
    <w:p w14:paraId="64D3BAA1" w14:textId="35B9362D" w:rsidR="00EF59C0" w:rsidRPr="00A53689" w:rsidRDefault="00EF59C0" w:rsidP="00EF59C0">
      <w:pPr>
        <w:pStyle w:val="H4"/>
        <w:ind w:right="1260"/>
        <w:rPr>
          <w:lang w:val="en-US"/>
        </w:rPr>
      </w:pPr>
      <w:r w:rsidRPr="00A53689">
        <w:rPr>
          <w:lang w:val="en-US"/>
        </w:rPr>
        <w:lastRenderedPageBreak/>
        <w:t>Executive Board decisions</w:t>
      </w:r>
    </w:p>
    <w:p w14:paraId="1D6039EF" w14:textId="0F9B5AA5" w:rsidR="00EF59C0" w:rsidRPr="00A53689" w:rsidRDefault="00EF59C0" w:rsidP="00EF59C0">
      <w:pPr>
        <w:pStyle w:val="SingleTxt"/>
        <w:spacing w:after="0" w:line="120" w:lineRule="exact"/>
        <w:rPr>
          <w:sz w:val="10"/>
          <w:lang w:val="en-US"/>
        </w:rPr>
      </w:pPr>
    </w:p>
    <w:p w14:paraId="28F21D3E" w14:textId="77777777" w:rsidR="007B3563" w:rsidRPr="00A53689" w:rsidRDefault="007B3563" w:rsidP="00EF59C0">
      <w:pPr>
        <w:pStyle w:val="SingleTxt"/>
        <w:spacing w:after="0" w:line="120" w:lineRule="exact"/>
        <w:rPr>
          <w:sz w:val="10"/>
          <w:lang w:val="en-US"/>
        </w:rPr>
        <w:sectPr w:rsidR="007B3563" w:rsidRPr="00A53689" w:rsidSect="00EF59C0">
          <w:endnotePr>
            <w:numFmt w:val="decimal"/>
          </w:endnotePr>
          <w:type w:val="continuous"/>
          <w:pgSz w:w="12240" w:h="15840"/>
          <w:pgMar w:top="1440" w:right="1195" w:bottom="1152" w:left="1195" w:header="432" w:footer="504"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3545"/>
      </w:tblGrid>
      <w:tr w:rsidR="007B3563" w:rsidRPr="00A53689" w14:paraId="2DC16FFF" w14:textId="77777777" w:rsidTr="00674BD1">
        <w:tc>
          <w:tcPr>
            <w:tcW w:w="1311" w:type="pct"/>
          </w:tcPr>
          <w:p w14:paraId="5DC4F40B" w14:textId="59E1C6D9" w:rsidR="007B3563" w:rsidRPr="00A53689" w:rsidRDefault="007B3563" w:rsidP="007B3563">
            <w:pPr>
              <w:spacing w:before="40" w:after="40" w:line="200" w:lineRule="exact"/>
              <w:ind w:right="43"/>
              <w:rPr>
                <w:sz w:val="17"/>
              </w:rPr>
            </w:pPr>
            <w:r w:rsidRPr="005F2D17">
              <w:rPr>
                <w:sz w:val="17"/>
              </w:rPr>
              <w:t>2019/1</w:t>
            </w:r>
          </w:p>
        </w:tc>
        <w:tc>
          <w:tcPr>
            <w:tcW w:w="3689" w:type="pct"/>
          </w:tcPr>
          <w:p w14:paraId="67D33C69" w14:textId="20CB035E" w:rsidR="007B3563" w:rsidRPr="00A53689" w:rsidRDefault="007B3563" w:rsidP="007B3563">
            <w:pPr>
              <w:spacing w:before="40" w:after="40" w:line="200" w:lineRule="exact"/>
              <w:ind w:left="86" w:right="43"/>
              <w:rPr>
                <w:sz w:val="17"/>
              </w:rPr>
            </w:pPr>
            <w:r w:rsidRPr="00A53689">
              <w:rPr>
                <w:sz w:val="17"/>
              </w:rPr>
              <w:t>Implementation of the strategic plan for the period 2014–2019 and the strategic plan for the period 2020–2023, and approval of the work programme and budget for 2020</w:t>
            </w:r>
          </w:p>
        </w:tc>
      </w:tr>
      <w:tr w:rsidR="007B3563" w:rsidRPr="00A53689" w14:paraId="4AF39B70" w14:textId="77777777" w:rsidTr="00674BD1">
        <w:tc>
          <w:tcPr>
            <w:tcW w:w="1311" w:type="pct"/>
          </w:tcPr>
          <w:p w14:paraId="70F25A08" w14:textId="3435DB11" w:rsidR="007B3563" w:rsidRPr="00A53689" w:rsidRDefault="007B3563" w:rsidP="007B3563">
            <w:pPr>
              <w:spacing w:before="40" w:after="40" w:line="200" w:lineRule="exact"/>
              <w:ind w:right="43"/>
              <w:rPr>
                <w:sz w:val="17"/>
              </w:rPr>
            </w:pPr>
            <w:r w:rsidRPr="005F2D17">
              <w:rPr>
                <w:sz w:val="17"/>
              </w:rPr>
              <w:t>2019/2</w:t>
            </w:r>
          </w:p>
        </w:tc>
        <w:tc>
          <w:tcPr>
            <w:tcW w:w="3689" w:type="pct"/>
          </w:tcPr>
          <w:p w14:paraId="1C74E14A" w14:textId="274CF3C5" w:rsidR="007B3563" w:rsidRPr="00A53689" w:rsidRDefault="007B3563" w:rsidP="007B3563">
            <w:pPr>
              <w:spacing w:before="40" w:after="40" w:line="200" w:lineRule="exact"/>
              <w:ind w:left="86" w:right="43"/>
              <w:rPr>
                <w:sz w:val="17"/>
              </w:rPr>
            </w:pPr>
            <w:r w:rsidRPr="00A53689">
              <w:rPr>
                <w:sz w:val="17"/>
              </w:rPr>
              <w:t>Financial, budgetary and administrative matters of the United Nations Human Settlements Programme</w:t>
            </w:r>
          </w:p>
        </w:tc>
      </w:tr>
      <w:tr w:rsidR="007B3563" w:rsidRPr="00A53689" w14:paraId="6366B6D0" w14:textId="77777777" w:rsidTr="00674BD1">
        <w:tc>
          <w:tcPr>
            <w:tcW w:w="1311" w:type="pct"/>
          </w:tcPr>
          <w:p w14:paraId="7E9F036E" w14:textId="5F9BE24B" w:rsidR="007B3563" w:rsidRPr="00A53689" w:rsidRDefault="007B3563" w:rsidP="007B3563">
            <w:pPr>
              <w:spacing w:before="40" w:after="40" w:line="200" w:lineRule="exact"/>
              <w:ind w:right="43"/>
              <w:rPr>
                <w:sz w:val="17"/>
              </w:rPr>
            </w:pPr>
            <w:r w:rsidRPr="005F2D17">
              <w:rPr>
                <w:sz w:val="17"/>
              </w:rPr>
              <w:t>2019/3</w:t>
            </w:r>
          </w:p>
        </w:tc>
        <w:tc>
          <w:tcPr>
            <w:tcW w:w="3689" w:type="pct"/>
          </w:tcPr>
          <w:p w14:paraId="35539ACF" w14:textId="4E309AC1" w:rsidR="007B3563" w:rsidRPr="00A53689" w:rsidRDefault="007B3563" w:rsidP="007B3563">
            <w:pPr>
              <w:spacing w:before="40" w:after="40" w:line="200" w:lineRule="exact"/>
              <w:ind w:left="86" w:right="43"/>
              <w:rPr>
                <w:sz w:val="17"/>
              </w:rPr>
            </w:pPr>
            <w:r w:rsidRPr="00A53689">
              <w:rPr>
                <w:sz w:val="17"/>
              </w:rPr>
              <w:t>Implementation of normative and operational activities of the United Nations Human Settlements Programme, including the resolutions and decisions of the United Nations Human Settlements Assembly</w:t>
            </w:r>
          </w:p>
        </w:tc>
      </w:tr>
      <w:tr w:rsidR="007B3563" w:rsidRPr="00A53689" w14:paraId="5B6779E7" w14:textId="77777777" w:rsidTr="00674BD1">
        <w:tc>
          <w:tcPr>
            <w:tcW w:w="1311" w:type="pct"/>
          </w:tcPr>
          <w:p w14:paraId="76802B91" w14:textId="5035F416" w:rsidR="007B3563" w:rsidRPr="00A53689" w:rsidRDefault="007B3563" w:rsidP="007B3563">
            <w:pPr>
              <w:spacing w:before="40" w:after="40" w:line="200" w:lineRule="exact"/>
              <w:ind w:right="43"/>
              <w:rPr>
                <w:sz w:val="17"/>
              </w:rPr>
            </w:pPr>
            <w:r w:rsidRPr="005F2D17">
              <w:rPr>
                <w:sz w:val="17"/>
              </w:rPr>
              <w:t>2020/3</w:t>
            </w:r>
          </w:p>
        </w:tc>
        <w:tc>
          <w:tcPr>
            <w:tcW w:w="3689" w:type="pct"/>
          </w:tcPr>
          <w:p w14:paraId="2E1449FF" w14:textId="207524A0" w:rsidR="007B3563" w:rsidRPr="00A53689" w:rsidRDefault="007B3563" w:rsidP="007B3563">
            <w:pPr>
              <w:keepNext/>
              <w:keepLines/>
              <w:spacing w:before="40" w:after="40" w:line="200" w:lineRule="exact"/>
              <w:ind w:left="86" w:right="43"/>
              <w:rPr>
                <w:sz w:val="17"/>
              </w:rPr>
            </w:pPr>
            <w:r w:rsidRPr="00A53689">
              <w:rPr>
                <w:sz w:val="17"/>
              </w:rPr>
              <w:t>Implementation of the strategic plan for the period 2014</w:t>
            </w:r>
            <w:r w:rsidR="001425AC" w:rsidRPr="001425AC">
              <w:rPr>
                <w:sz w:val="17"/>
              </w:rPr>
              <w:t>–</w:t>
            </w:r>
            <w:r w:rsidRPr="00A53689">
              <w:rPr>
                <w:sz w:val="17"/>
              </w:rPr>
              <w:t>2019, the strategic plan for the period 2020</w:t>
            </w:r>
            <w:r w:rsidR="001425AC" w:rsidRPr="001425AC">
              <w:rPr>
                <w:sz w:val="17"/>
              </w:rPr>
              <w:t>–</w:t>
            </w:r>
            <w:r w:rsidRPr="00A53689">
              <w:rPr>
                <w:sz w:val="17"/>
              </w:rPr>
              <w:t>2023, approval of the draft work programme and draft budget for 2021, implementation by the United Nations Human Settlements Programme</w:t>
            </w:r>
            <w:r w:rsidRPr="00A53689" w:rsidDel="001018A7">
              <w:rPr>
                <w:sz w:val="17"/>
              </w:rPr>
              <w:t xml:space="preserve"> </w:t>
            </w:r>
            <w:r w:rsidRPr="00A53689">
              <w:rPr>
                <w:sz w:val="17"/>
              </w:rPr>
              <w:t>of the reform of the development system and management of the United Nations, and alignment of the planning cycles of the Programme</w:t>
            </w:r>
            <w:r w:rsidRPr="00A53689" w:rsidDel="001018A7">
              <w:rPr>
                <w:sz w:val="17"/>
              </w:rPr>
              <w:t xml:space="preserve"> </w:t>
            </w:r>
            <w:r w:rsidRPr="00A53689">
              <w:rPr>
                <w:sz w:val="17"/>
              </w:rPr>
              <w:t>with the quadrennial comprehensive policy review process</w:t>
            </w:r>
          </w:p>
        </w:tc>
      </w:tr>
      <w:tr w:rsidR="007B3563" w:rsidRPr="00A53689" w14:paraId="015BCC77" w14:textId="77777777" w:rsidTr="00674BD1">
        <w:tc>
          <w:tcPr>
            <w:tcW w:w="1311" w:type="pct"/>
          </w:tcPr>
          <w:p w14:paraId="4CE2F44B" w14:textId="34CE9699" w:rsidR="007B3563" w:rsidRPr="00A53689" w:rsidRDefault="007B3563" w:rsidP="007B3563">
            <w:pPr>
              <w:spacing w:before="40" w:after="40" w:line="200" w:lineRule="exact"/>
              <w:ind w:right="43"/>
              <w:rPr>
                <w:sz w:val="17"/>
              </w:rPr>
            </w:pPr>
            <w:r w:rsidRPr="005F2D17">
              <w:rPr>
                <w:sz w:val="17"/>
              </w:rPr>
              <w:t>2020/4</w:t>
            </w:r>
          </w:p>
        </w:tc>
        <w:tc>
          <w:tcPr>
            <w:tcW w:w="3689" w:type="pct"/>
          </w:tcPr>
          <w:p w14:paraId="39C2CDBE" w14:textId="0B4320B1" w:rsidR="007B3563" w:rsidRPr="00A53689" w:rsidRDefault="007B3563" w:rsidP="007B3563">
            <w:pPr>
              <w:spacing w:before="40" w:after="40" w:line="200" w:lineRule="exact"/>
              <w:ind w:left="86" w:right="43"/>
              <w:rPr>
                <w:sz w:val="17"/>
              </w:rPr>
            </w:pPr>
            <w:r w:rsidRPr="00A53689">
              <w:rPr>
                <w:sz w:val="17"/>
              </w:rPr>
              <w:t>Financial, budgetary and administrative matters of the United Nations Human Settlements Programme</w:t>
            </w:r>
          </w:p>
        </w:tc>
      </w:tr>
      <w:tr w:rsidR="007B3563" w:rsidRPr="00A53689" w14:paraId="618B5D20" w14:textId="77777777" w:rsidTr="00674BD1">
        <w:tc>
          <w:tcPr>
            <w:tcW w:w="1311" w:type="pct"/>
          </w:tcPr>
          <w:p w14:paraId="11C66C01" w14:textId="2AFCD8E4" w:rsidR="007B3563" w:rsidRPr="00A53689" w:rsidRDefault="007B3563" w:rsidP="007B3563">
            <w:pPr>
              <w:spacing w:before="40" w:after="40" w:line="200" w:lineRule="exact"/>
              <w:ind w:right="43"/>
              <w:rPr>
                <w:sz w:val="17"/>
              </w:rPr>
            </w:pPr>
            <w:r w:rsidRPr="005F2D17">
              <w:rPr>
                <w:sz w:val="17"/>
              </w:rPr>
              <w:t>2020/5</w:t>
            </w:r>
          </w:p>
        </w:tc>
        <w:tc>
          <w:tcPr>
            <w:tcW w:w="3689" w:type="pct"/>
          </w:tcPr>
          <w:p w14:paraId="042A304B" w14:textId="2949E3E5" w:rsidR="007B3563" w:rsidRPr="00A53689" w:rsidRDefault="007B3563" w:rsidP="007B3563">
            <w:pPr>
              <w:spacing w:before="40" w:after="40" w:line="200" w:lineRule="exact"/>
              <w:ind w:left="86" w:right="43"/>
              <w:rPr>
                <w:sz w:val="17"/>
              </w:rPr>
            </w:pPr>
            <w:r w:rsidRPr="00A53689">
              <w:rPr>
                <w:sz w:val="17"/>
              </w:rPr>
              <w:t>Implementation of normative and operational activities of the United Nations Human Settlements Programme, including resolutions and decisions of the United Nations Habitat Assembly, and reporting on the programmatic activities of the Programme in 2020 and the implementation of subprogrammes, flagship programmes and technical cooperation activities</w:t>
            </w:r>
          </w:p>
        </w:tc>
      </w:tr>
    </w:tbl>
    <w:p w14:paraId="3FD0D9ED" w14:textId="77777777" w:rsidR="007B3563" w:rsidRPr="00A53689" w:rsidRDefault="007B3563" w:rsidP="007B3563">
      <w:pPr>
        <w:pStyle w:val="DualTxt"/>
        <w:spacing w:after="0" w:line="240" w:lineRule="auto"/>
        <w:rPr>
          <w:sz w:val="2"/>
          <w:lang w:val="en-US"/>
        </w:rPr>
        <w:sectPr w:rsidR="007B3563" w:rsidRPr="00A53689" w:rsidSect="007B3563">
          <w:endnotePr>
            <w:numFmt w:val="decimal"/>
          </w:endnotePr>
          <w:type w:val="continuous"/>
          <w:pgSz w:w="12240" w:h="15840"/>
          <w:pgMar w:top="1440" w:right="1195" w:bottom="1152" w:left="1195" w:header="432" w:footer="504" w:gutter="0"/>
          <w:cols w:num="2" w:space="240"/>
          <w:noEndnote/>
          <w:docGrid w:linePitch="360"/>
        </w:sectPr>
      </w:pPr>
    </w:p>
    <w:p w14:paraId="7B17EC55" w14:textId="5AC23057" w:rsidR="00EF59C0" w:rsidRPr="00A53689" w:rsidRDefault="00EF59C0" w:rsidP="007B3563">
      <w:pPr>
        <w:pStyle w:val="SingleTxt"/>
        <w:spacing w:after="0" w:line="120" w:lineRule="exact"/>
        <w:rPr>
          <w:sz w:val="10"/>
          <w:lang w:val="en-US"/>
        </w:rPr>
      </w:pPr>
    </w:p>
    <w:p w14:paraId="66C551A5" w14:textId="0419C122" w:rsidR="007B3563" w:rsidRPr="00A53689" w:rsidRDefault="007B3563" w:rsidP="007B3563">
      <w:pPr>
        <w:pStyle w:val="H4"/>
        <w:ind w:right="1260"/>
        <w:rPr>
          <w:lang w:val="en-US"/>
        </w:rPr>
      </w:pPr>
      <w:r w:rsidRPr="00A53689">
        <w:rPr>
          <w:lang w:val="en-US"/>
        </w:rPr>
        <w:t>Governing Council resolutions</w:t>
      </w:r>
    </w:p>
    <w:p w14:paraId="6B12E321" w14:textId="4EA06884" w:rsidR="007B3563" w:rsidRPr="00A53689" w:rsidRDefault="007B3563" w:rsidP="007B3563">
      <w:pPr>
        <w:pStyle w:val="SingleTxt"/>
        <w:spacing w:after="0" w:line="120" w:lineRule="exact"/>
        <w:rPr>
          <w:sz w:val="10"/>
          <w:lang w:val="en-US"/>
        </w:rPr>
      </w:pPr>
    </w:p>
    <w:p w14:paraId="300B459E" w14:textId="77777777" w:rsidR="00FB29AC" w:rsidRPr="00A53689" w:rsidRDefault="00FB29AC" w:rsidP="007B3563">
      <w:pPr>
        <w:pStyle w:val="SingleTxt"/>
        <w:spacing w:after="0" w:line="120" w:lineRule="exact"/>
        <w:rPr>
          <w:sz w:val="10"/>
          <w:lang w:val="en-US"/>
        </w:rPr>
        <w:sectPr w:rsidR="00FB29AC" w:rsidRPr="00A53689" w:rsidSect="007B3563">
          <w:endnotePr>
            <w:numFmt w:val="decimal"/>
          </w:endnotePr>
          <w:type w:val="continuous"/>
          <w:pgSz w:w="12240" w:h="15840"/>
          <w:pgMar w:top="1440" w:right="1195" w:bottom="1152" w:left="1195" w:header="432" w:footer="504"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3545"/>
      </w:tblGrid>
      <w:tr w:rsidR="00FB29AC" w:rsidRPr="00A53689" w14:paraId="111B8971" w14:textId="77777777" w:rsidTr="00674BD1">
        <w:tc>
          <w:tcPr>
            <w:tcW w:w="1311" w:type="pct"/>
          </w:tcPr>
          <w:p w14:paraId="33566CCA" w14:textId="7C9EF97C" w:rsidR="00FB29AC" w:rsidRPr="00A53689" w:rsidRDefault="00FB29AC" w:rsidP="00FB29AC">
            <w:pPr>
              <w:spacing w:before="40" w:after="40" w:line="200" w:lineRule="exact"/>
              <w:ind w:right="43"/>
              <w:rPr>
                <w:sz w:val="17"/>
              </w:rPr>
            </w:pPr>
            <w:r w:rsidRPr="006653CD">
              <w:rPr>
                <w:sz w:val="17"/>
              </w:rPr>
              <w:t>19/4</w:t>
            </w:r>
          </w:p>
        </w:tc>
        <w:tc>
          <w:tcPr>
            <w:tcW w:w="3689" w:type="pct"/>
          </w:tcPr>
          <w:p w14:paraId="15985C59" w14:textId="07D13727" w:rsidR="00FB29AC" w:rsidRPr="00A53689" w:rsidRDefault="00FB29AC" w:rsidP="00FB29AC">
            <w:pPr>
              <w:spacing w:before="40" w:after="40" w:line="200" w:lineRule="exact"/>
              <w:ind w:left="86" w:right="43"/>
              <w:rPr>
                <w:sz w:val="17"/>
              </w:rPr>
            </w:pPr>
            <w:r w:rsidRPr="00A53689">
              <w:rPr>
                <w:sz w:val="17"/>
              </w:rPr>
              <w:t>Cooperation between the United Nations Human Settlements Programme and the United Nations Environment Programme</w:t>
            </w:r>
          </w:p>
        </w:tc>
      </w:tr>
      <w:tr w:rsidR="00FB29AC" w:rsidRPr="00A53689" w14:paraId="4D7755C4" w14:textId="77777777" w:rsidTr="00674BD1">
        <w:tc>
          <w:tcPr>
            <w:tcW w:w="1311" w:type="pct"/>
          </w:tcPr>
          <w:p w14:paraId="687475FC" w14:textId="21546205" w:rsidR="00FB29AC" w:rsidRPr="00A53689" w:rsidRDefault="00FB29AC" w:rsidP="00FB29AC">
            <w:pPr>
              <w:spacing w:before="40" w:after="40" w:line="200" w:lineRule="exact"/>
              <w:ind w:right="43"/>
              <w:rPr>
                <w:sz w:val="17"/>
              </w:rPr>
            </w:pPr>
            <w:r w:rsidRPr="006653CD">
              <w:rPr>
                <w:sz w:val="17"/>
              </w:rPr>
              <w:t>19/11</w:t>
            </w:r>
          </w:p>
        </w:tc>
        <w:tc>
          <w:tcPr>
            <w:tcW w:w="3689" w:type="pct"/>
          </w:tcPr>
          <w:p w14:paraId="56DF3EC1" w14:textId="003D9A21" w:rsidR="00FB29AC" w:rsidRPr="00A53689" w:rsidRDefault="00FB29AC" w:rsidP="00FB29AC">
            <w:pPr>
              <w:spacing w:before="40" w:after="40" w:line="200" w:lineRule="exact"/>
              <w:ind w:left="86" w:right="43"/>
              <w:rPr>
                <w:sz w:val="17"/>
              </w:rPr>
            </w:pPr>
            <w:r w:rsidRPr="00A53689">
              <w:rPr>
                <w:sz w:val="17"/>
              </w:rPr>
              <w:t>Strengthening the United Nations Habitat and Human Settlements Foundation</w:t>
            </w:r>
          </w:p>
        </w:tc>
      </w:tr>
      <w:tr w:rsidR="00FB29AC" w:rsidRPr="00A53689" w14:paraId="470161EE" w14:textId="77777777" w:rsidTr="00674BD1">
        <w:tc>
          <w:tcPr>
            <w:tcW w:w="1311" w:type="pct"/>
          </w:tcPr>
          <w:p w14:paraId="7622305E" w14:textId="0556F486" w:rsidR="00FB29AC" w:rsidRPr="00A53689" w:rsidRDefault="00FB29AC" w:rsidP="00FB29AC">
            <w:pPr>
              <w:spacing w:before="40" w:after="40" w:line="200" w:lineRule="exact"/>
              <w:ind w:right="43"/>
              <w:rPr>
                <w:sz w:val="17"/>
              </w:rPr>
            </w:pPr>
            <w:r w:rsidRPr="006653CD">
              <w:rPr>
                <w:sz w:val="17"/>
              </w:rPr>
              <w:t>20/6</w:t>
            </w:r>
          </w:p>
        </w:tc>
        <w:tc>
          <w:tcPr>
            <w:tcW w:w="3689" w:type="pct"/>
          </w:tcPr>
          <w:p w14:paraId="18A68322" w14:textId="564E97FD" w:rsidR="00FB29AC" w:rsidRPr="00A53689" w:rsidRDefault="00FB29AC" w:rsidP="00FB29AC">
            <w:pPr>
              <w:spacing w:before="40" w:after="40" w:line="200" w:lineRule="exact"/>
              <w:ind w:left="86" w:right="43"/>
              <w:rPr>
                <w:sz w:val="17"/>
              </w:rPr>
            </w:pPr>
            <w:r w:rsidRPr="00A53689">
              <w:rPr>
                <w:sz w:val="17"/>
              </w:rPr>
              <w:t>Best practices, good policies and enabling legislation in support of sustainable urbanization and the attainment of internationally agreed development goals</w:t>
            </w:r>
          </w:p>
        </w:tc>
      </w:tr>
      <w:tr w:rsidR="00FB29AC" w:rsidRPr="00A53689" w14:paraId="0B920750" w14:textId="77777777" w:rsidTr="00674BD1">
        <w:tc>
          <w:tcPr>
            <w:tcW w:w="1311" w:type="pct"/>
          </w:tcPr>
          <w:p w14:paraId="1B16B23E" w14:textId="425D147B" w:rsidR="00FB29AC" w:rsidRPr="00A53689" w:rsidRDefault="00FB29AC" w:rsidP="00FB29AC">
            <w:pPr>
              <w:spacing w:before="40" w:after="40" w:line="200" w:lineRule="exact"/>
              <w:ind w:right="43"/>
              <w:rPr>
                <w:sz w:val="17"/>
              </w:rPr>
            </w:pPr>
            <w:r w:rsidRPr="006653CD">
              <w:rPr>
                <w:sz w:val="17"/>
              </w:rPr>
              <w:t>20/16</w:t>
            </w:r>
          </w:p>
        </w:tc>
        <w:tc>
          <w:tcPr>
            <w:tcW w:w="3689" w:type="pct"/>
          </w:tcPr>
          <w:p w14:paraId="50C0B2A3" w14:textId="2029A100" w:rsidR="00FB29AC" w:rsidRPr="00A53689" w:rsidRDefault="00FB29AC" w:rsidP="00FB29AC">
            <w:pPr>
              <w:spacing w:before="40" w:after="40" w:line="200" w:lineRule="exact"/>
              <w:ind w:left="86" w:right="43"/>
              <w:rPr>
                <w:sz w:val="17"/>
              </w:rPr>
            </w:pPr>
            <w:r w:rsidRPr="00A53689">
              <w:rPr>
                <w:sz w:val="17"/>
              </w:rPr>
              <w:t>Enhancing the involvement of civil society in local governance</w:t>
            </w:r>
          </w:p>
        </w:tc>
      </w:tr>
      <w:tr w:rsidR="00FB29AC" w:rsidRPr="00A53689" w14:paraId="279D9F8B" w14:textId="77777777" w:rsidTr="00674BD1">
        <w:tc>
          <w:tcPr>
            <w:tcW w:w="1311" w:type="pct"/>
          </w:tcPr>
          <w:p w14:paraId="2BE4F866" w14:textId="58434B25" w:rsidR="00FB29AC" w:rsidRPr="00A53689" w:rsidRDefault="00FB29AC" w:rsidP="00FB29AC">
            <w:pPr>
              <w:spacing w:before="40" w:after="40" w:line="200" w:lineRule="exact"/>
              <w:ind w:right="43"/>
              <w:rPr>
                <w:sz w:val="17"/>
              </w:rPr>
            </w:pPr>
            <w:r w:rsidRPr="006653CD">
              <w:rPr>
                <w:sz w:val="17"/>
              </w:rPr>
              <w:t>21/3</w:t>
            </w:r>
          </w:p>
        </w:tc>
        <w:tc>
          <w:tcPr>
            <w:tcW w:w="3689" w:type="pct"/>
          </w:tcPr>
          <w:p w14:paraId="0A1A222C" w14:textId="781247ED" w:rsidR="00FB29AC" w:rsidRPr="00A53689" w:rsidRDefault="00FB29AC" w:rsidP="00FB29AC">
            <w:pPr>
              <w:spacing w:before="40" w:after="40" w:line="200" w:lineRule="exact"/>
              <w:ind w:left="86" w:right="43"/>
              <w:rPr>
                <w:sz w:val="17"/>
              </w:rPr>
            </w:pPr>
            <w:r w:rsidRPr="00A53689">
              <w:rPr>
                <w:sz w:val="17"/>
              </w:rPr>
              <w:t>Guidelines on decentralization and strengthening of local authorities</w:t>
            </w:r>
          </w:p>
        </w:tc>
      </w:tr>
      <w:tr w:rsidR="00FB29AC" w:rsidRPr="00A53689" w14:paraId="647625A3" w14:textId="77777777" w:rsidTr="00674BD1">
        <w:tc>
          <w:tcPr>
            <w:tcW w:w="1311" w:type="pct"/>
          </w:tcPr>
          <w:p w14:paraId="293AE6E3" w14:textId="1DA85C6E" w:rsidR="00FB29AC" w:rsidRPr="00A53689" w:rsidRDefault="00FB29AC" w:rsidP="00FB29AC">
            <w:pPr>
              <w:spacing w:before="40" w:after="40" w:line="200" w:lineRule="exact"/>
              <w:ind w:right="43"/>
              <w:rPr>
                <w:sz w:val="17"/>
              </w:rPr>
            </w:pPr>
            <w:r w:rsidRPr="006653CD">
              <w:rPr>
                <w:sz w:val="17"/>
              </w:rPr>
              <w:t>21/7</w:t>
            </w:r>
          </w:p>
        </w:tc>
        <w:tc>
          <w:tcPr>
            <w:tcW w:w="3689" w:type="pct"/>
          </w:tcPr>
          <w:p w14:paraId="53B867E2" w14:textId="705E4183" w:rsidR="00FB29AC" w:rsidRPr="00A53689" w:rsidRDefault="00FB29AC" w:rsidP="00FB29AC">
            <w:pPr>
              <w:spacing w:before="40" w:after="40" w:line="200" w:lineRule="exact"/>
              <w:ind w:left="86" w:right="43"/>
              <w:rPr>
                <w:sz w:val="17"/>
              </w:rPr>
            </w:pPr>
            <w:r w:rsidRPr="00A53689">
              <w:rPr>
                <w:sz w:val="17"/>
              </w:rPr>
              <w:t>Sustainable public-private partnership incentives for attracting large-scale private-sector investment in low-income housing</w:t>
            </w:r>
          </w:p>
        </w:tc>
      </w:tr>
      <w:tr w:rsidR="00FB29AC" w:rsidRPr="00A53689" w14:paraId="3F92B2C0" w14:textId="77777777" w:rsidTr="00674BD1">
        <w:tc>
          <w:tcPr>
            <w:tcW w:w="1311" w:type="pct"/>
          </w:tcPr>
          <w:p w14:paraId="2726799C" w14:textId="07D5AF6D" w:rsidR="00FB29AC" w:rsidRPr="00A53689" w:rsidRDefault="00FB29AC" w:rsidP="00FB29AC">
            <w:pPr>
              <w:spacing w:before="40" w:after="40" w:line="200" w:lineRule="exact"/>
              <w:ind w:right="43"/>
              <w:rPr>
                <w:sz w:val="17"/>
              </w:rPr>
            </w:pPr>
            <w:r w:rsidRPr="006653CD">
              <w:rPr>
                <w:sz w:val="17"/>
              </w:rPr>
              <w:t>22/9</w:t>
            </w:r>
          </w:p>
        </w:tc>
        <w:tc>
          <w:tcPr>
            <w:tcW w:w="3689" w:type="pct"/>
          </w:tcPr>
          <w:p w14:paraId="0A1415BD" w14:textId="6B042683" w:rsidR="00FB29AC" w:rsidRPr="00A53689" w:rsidRDefault="00FB29AC" w:rsidP="00FB29AC">
            <w:pPr>
              <w:spacing w:before="40" w:after="40" w:line="200" w:lineRule="exact"/>
              <w:ind w:left="86" w:right="43"/>
              <w:rPr>
                <w:sz w:val="17"/>
              </w:rPr>
            </w:pPr>
            <w:r w:rsidRPr="00A53689">
              <w:rPr>
                <w:sz w:val="17"/>
              </w:rPr>
              <w:t>South-South cooperation in human settlements</w:t>
            </w:r>
          </w:p>
        </w:tc>
      </w:tr>
      <w:tr w:rsidR="00FB29AC" w:rsidRPr="00A53689" w14:paraId="3D92E6E8" w14:textId="77777777" w:rsidTr="00674BD1">
        <w:tc>
          <w:tcPr>
            <w:tcW w:w="1311" w:type="pct"/>
          </w:tcPr>
          <w:p w14:paraId="0BAB66B7" w14:textId="3D221FA1" w:rsidR="00FB29AC" w:rsidRPr="00A53689" w:rsidRDefault="00FB29AC" w:rsidP="00FB29AC">
            <w:pPr>
              <w:spacing w:before="40" w:after="40" w:line="200" w:lineRule="exact"/>
              <w:ind w:right="43"/>
              <w:rPr>
                <w:sz w:val="17"/>
              </w:rPr>
            </w:pPr>
            <w:r w:rsidRPr="006653CD">
              <w:rPr>
                <w:sz w:val="17"/>
              </w:rPr>
              <w:t>23/3</w:t>
            </w:r>
          </w:p>
        </w:tc>
        <w:tc>
          <w:tcPr>
            <w:tcW w:w="3689" w:type="pct"/>
          </w:tcPr>
          <w:p w14:paraId="49903D77" w14:textId="19466D66" w:rsidR="00FB29AC" w:rsidRPr="00A53689" w:rsidRDefault="00FB29AC" w:rsidP="00FB29AC">
            <w:pPr>
              <w:spacing w:before="40" w:after="40" w:line="200" w:lineRule="exact"/>
              <w:ind w:left="86" w:right="43"/>
              <w:rPr>
                <w:sz w:val="17"/>
              </w:rPr>
            </w:pPr>
            <w:r w:rsidRPr="00A53689">
              <w:rPr>
                <w:sz w:val="17"/>
              </w:rPr>
              <w:t>Support for pro-poor housing</w:t>
            </w:r>
          </w:p>
        </w:tc>
      </w:tr>
      <w:tr w:rsidR="00FB29AC" w:rsidRPr="00A53689" w14:paraId="2254B4E3" w14:textId="77777777" w:rsidTr="00674BD1">
        <w:tc>
          <w:tcPr>
            <w:tcW w:w="1311" w:type="pct"/>
          </w:tcPr>
          <w:p w14:paraId="3EB58C1A" w14:textId="437D31C7" w:rsidR="00FB29AC" w:rsidRPr="00A53689" w:rsidRDefault="00FB29AC" w:rsidP="00FB29AC">
            <w:pPr>
              <w:spacing w:before="40" w:after="40" w:line="200" w:lineRule="exact"/>
              <w:ind w:right="43"/>
              <w:rPr>
                <w:sz w:val="17"/>
              </w:rPr>
            </w:pPr>
            <w:r w:rsidRPr="006653CD">
              <w:rPr>
                <w:sz w:val="17"/>
              </w:rPr>
              <w:t>23/10</w:t>
            </w:r>
          </w:p>
        </w:tc>
        <w:tc>
          <w:tcPr>
            <w:tcW w:w="3689" w:type="pct"/>
          </w:tcPr>
          <w:p w14:paraId="55CC869A" w14:textId="3DDF94A2" w:rsidR="00FB29AC" w:rsidRPr="00A53689" w:rsidRDefault="00FB29AC" w:rsidP="00FB29AC">
            <w:pPr>
              <w:spacing w:before="40" w:after="40" w:line="200" w:lineRule="exact"/>
              <w:ind w:left="86" w:right="43"/>
              <w:rPr>
                <w:sz w:val="17"/>
              </w:rPr>
            </w:pPr>
            <w:r w:rsidRPr="00A53689">
              <w:rPr>
                <w:sz w:val="17"/>
              </w:rPr>
              <w:t>Future activities by the United Nations Human Settlements Programme in urban economy and financial mechanisms for urban upgrading, housing and basic services for the urban poor</w:t>
            </w:r>
          </w:p>
        </w:tc>
      </w:tr>
      <w:tr w:rsidR="00FB29AC" w:rsidRPr="00A53689" w14:paraId="718757BE" w14:textId="77777777" w:rsidTr="00674BD1">
        <w:tc>
          <w:tcPr>
            <w:tcW w:w="1311" w:type="pct"/>
          </w:tcPr>
          <w:p w14:paraId="3F114274" w14:textId="48E91B25" w:rsidR="00FB29AC" w:rsidRPr="00A53689" w:rsidRDefault="00FB29AC" w:rsidP="00FB29AC">
            <w:pPr>
              <w:spacing w:before="40" w:after="40" w:line="200" w:lineRule="exact"/>
              <w:ind w:right="43"/>
              <w:rPr>
                <w:sz w:val="17"/>
              </w:rPr>
            </w:pPr>
            <w:r w:rsidRPr="006653CD">
              <w:rPr>
                <w:sz w:val="17"/>
              </w:rPr>
              <w:t>24/5</w:t>
            </w:r>
          </w:p>
        </w:tc>
        <w:tc>
          <w:tcPr>
            <w:tcW w:w="3689" w:type="pct"/>
          </w:tcPr>
          <w:p w14:paraId="142F3169" w14:textId="4555D5A1" w:rsidR="00FB29AC" w:rsidRPr="00A53689" w:rsidRDefault="00FB29AC" w:rsidP="00FB29AC">
            <w:pPr>
              <w:spacing w:before="40" w:after="40" w:line="200" w:lineRule="exact"/>
              <w:ind w:left="86" w:right="43"/>
              <w:rPr>
                <w:sz w:val="17"/>
              </w:rPr>
            </w:pPr>
            <w:r w:rsidRPr="00A53689">
              <w:rPr>
                <w:sz w:val="17"/>
              </w:rPr>
              <w:t>Pursuing sustainable development through national urban policies</w:t>
            </w:r>
          </w:p>
        </w:tc>
      </w:tr>
      <w:tr w:rsidR="00FB29AC" w:rsidRPr="00A53689" w14:paraId="2A06DE3A" w14:textId="77777777" w:rsidTr="00674BD1">
        <w:tc>
          <w:tcPr>
            <w:tcW w:w="1311" w:type="pct"/>
          </w:tcPr>
          <w:p w14:paraId="4A240C2F" w14:textId="27608F59" w:rsidR="00FB29AC" w:rsidRPr="00A53689" w:rsidRDefault="00FB29AC" w:rsidP="00FB29AC">
            <w:pPr>
              <w:spacing w:before="40" w:after="40" w:line="200" w:lineRule="exact"/>
              <w:ind w:right="43"/>
              <w:rPr>
                <w:sz w:val="17"/>
              </w:rPr>
            </w:pPr>
            <w:r w:rsidRPr="006653CD">
              <w:rPr>
                <w:sz w:val="17"/>
              </w:rPr>
              <w:t>24/7</w:t>
            </w:r>
          </w:p>
        </w:tc>
        <w:tc>
          <w:tcPr>
            <w:tcW w:w="3689" w:type="pct"/>
          </w:tcPr>
          <w:p w14:paraId="63F430F4" w14:textId="44649018" w:rsidR="00FB29AC" w:rsidRPr="00A53689" w:rsidRDefault="00FB29AC" w:rsidP="00FB29AC">
            <w:pPr>
              <w:spacing w:before="40" w:after="40" w:line="200" w:lineRule="exact"/>
              <w:ind w:left="86" w:right="43"/>
              <w:rPr>
                <w:sz w:val="17"/>
              </w:rPr>
            </w:pPr>
            <w:r w:rsidRPr="00A53689">
              <w:rPr>
                <w:sz w:val="17"/>
              </w:rPr>
              <w:t>Making slums history: a worldwide challenge</w:t>
            </w:r>
          </w:p>
        </w:tc>
      </w:tr>
      <w:tr w:rsidR="00FB29AC" w:rsidRPr="00A53689" w14:paraId="2CB99E46" w14:textId="77777777" w:rsidTr="00674BD1">
        <w:tc>
          <w:tcPr>
            <w:tcW w:w="1311" w:type="pct"/>
          </w:tcPr>
          <w:p w14:paraId="7F484223" w14:textId="3B67E8AD" w:rsidR="00FB29AC" w:rsidRPr="00A53689" w:rsidRDefault="00FB29AC" w:rsidP="00FB29AC">
            <w:pPr>
              <w:spacing w:before="40" w:after="40" w:line="200" w:lineRule="exact"/>
              <w:ind w:right="43"/>
              <w:rPr>
                <w:sz w:val="17"/>
              </w:rPr>
            </w:pPr>
            <w:r w:rsidRPr="006653CD">
              <w:rPr>
                <w:sz w:val="17"/>
              </w:rPr>
              <w:t>24/11</w:t>
            </w:r>
          </w:p>
        </w:tc>
        <w:tc>
          <w:tcPr>
            <w:tcW w:w="3689" w:type="pct"/>
          </w:tcPr>
          <w:p w14:paraId="121E3A92" w14:textId="60F8BF09" w:rsidR="00FB29AC" w:rsidRPr="00A53689" w:rsidRDefault="00FB29AC" w:rsidP="00FB29AC">
            <w:pPr>
              <w:spacing w:before="40" w:after="40" w:line="200" w:lineRule="exact"/>
              <w:ind w:left="86" w:right="43"/>
              <w:rPr>
                <w:sz w:val="17"/>
              </w:rPr>
            </w:pPr>
            <w:r w:rsidRPr="00A53689">
              <w:rPr>
                <w:sz w:val="17"/>
              </w:rPr>
              <w:t>Promoting sustainable urban development by creating improved economic opportunities for all, with special reference to youth and gender</w:t>
            </w:r>
          </w:p>
        </w:tc>
      </w:tr>
      <w:tr w:rsidR="00FB29AC" w:rsidRPr="00A53689" w14:paraId="31510D3E" w14:textId="77777777" w:rsidTr="00674BD1">
        <w:tc>
          <w:tcPr>
            <w:tcW w:w="1311" w:type="pct"/>
          </w:tcPr>
          <w:p w14:paraId="43E625E0" w14:textId="2A78DEE4" w:rsidR="00FB29AC" w:rsidRPr="00A53689" w:rsidRDefault="00FB29AC" w:rsidP="00FB29AC">
            <w:pPr>
              <w:spacing w:before="40" w:after="40" w:line="200" w:lineRule="exact"/>
              <w:ind w:right="43"/>
              <w:rPr>
                <w:sz w:val="17"/>
              </w:rPr>
            </w:pPr>
            <w:r w:rsidRPr="006653CD">
              <w:rPr>
                <w:sz w:val="17"/>
              </w:rPr>
              <w:t>24/13</w:t>
            </w:r>
          </w:p>
        </w:tc>
        <w:tc>
          <w:tcPr>
            <w:tcW w:w="3689" w:type="pct"/>
          </w:tcPr>
          <w:p w14:paraId="6F47D205" w14:textId="41C59FB3" w:rsidR="00FB29AC" w:rsidRPr="00A53689" w:rsidRDefault="00FB29AC" w:rsidP="00FB29AC">
            <w:pPr>
              <w:spacing w:before="40" w:after="40" w:line="200" w:lineRule="exact"/>
              <w:ind w:left="86" w:right="43"/>
              <w:rPr>
                <w:sz w:val="17"/>
              </w:rPr>
            </w:pPr>
            <w:r w:rsidRPr="00A53689">
              <w:rPr>
                <w:sz w:val="17"/>
              </w:rPr>
              <w:t>Country activities by the United Nations Human Settlements Programme</w:t>
            </w:r>
          </w:p>
        </w:tc>
      </w:tr>
      <w:tr w:rsidR="00FB29AC" w:rsidRPr="00A53689" w14:paraId="5395B338" w14:textId="77777777" w:rsidTr="00674BD1">
        <w:tc>
          <w:tcPr>
            <w:tcW w:w="1311" w:type="pct"/>
          </w:tcPr>
          <w:p w14:paraId="0513A234" w14:textId="28BCA08B" w:rsidR="00FB29AC" w:rsidRPr="00A53689" w:rsidRDefault="00FB29AC" w:rsidP="00FB29AC">
            <w:pPr>
              <w:spacing w:before="40" w:after="40" w:line="200" w:lineRule="exact"/>
              <w:ind w:right="43"/>
              <w:rPr>
                <w:sz w:val="17"/>
              </w:rPr>
            </w:pPr>
            <w:r w:rsidRPr="006653CD">
              <w:rPr>
                <w:sz w:val="17"/>
              </w:rPr>
              <w:t>25/1</w:t>
            </w:r>
          </w:p>
        </w:tc>
        <w:tc>
          <w:tcPr>
            <w:tcW w:w="3689" w:type="pct"/>
          </w:tcPr>
          <w:p w14:paraId="5D424D20" w14:textId="558C714A" w:rsidR="00FB29AC" w:rsidRPr="00A53689" w:rsidRDefault="00FB29AC" w:rsidP="00FB29AC">
            <w:pPr>
              <w:spacing w:before="40" w:after="40" w:line="200" w:lineRule="exact"/>
              <w:ind w:left="86" w:right="43"/>
              <w:rPr>
                <w:sz w:val="17"/>
              </w:rPr>
            </w:pPr>
            <w:r w:rsidRPr="00A53689">
              <w:rPr>
                <w:sz w:val="17"/>
              </w:rPr>
              <w:t>Contribution of the United Nations Human Settlements Programme to the post-2015 development agenda in order to promote sustainable urban development and human settlements</w:t>
            </w:r>
          </w:p>
        </w:tc>
      </w:tr>
      <w:tr w:rsidR="00FB29AC" w:rsidRPr="00A53689" w14:paraId="61C77241" w14:textId="77777777" w:rsidTr="00674BD1">
        <w:tc>
          <w:tcPr>
            <w:tcW w:w="1311" w:type="pct"/>
          </w:tcPr>
          <w:p w14:paraId="1D8E1418" w14:textId="6F354862" w:rsidR="00FB29AC" w:rsidRPr="00A53689" w:rsidRDefault="00FB29AC" w:rsidP="00FB29AC">
            <w:pPr>
              <w:spacing w:before="40" w:after="40" w:line="200" w:lineRule="exact"/>
              <w:ind w:right="43"/>
              <w:rPr>
                <w:sz w:val="17"/>
              </w:rPr>
            </w:pPr>
            <w:r w:rsidRPr="0029701C">
              <w:rPr>
                <w:sz w:val="17"/>
              </w:rPr>
              <w:t>25/2</w:t>
            </w:r>
          </w:p>
        </w:tc>
        <w:tc>
          <w:tcPr>
            <w:tcW w:w="3689" w:type="pct"/>
          </w:tcPr>
          <w:p w14:paraId="6EA5980F" w14:textId="07E306DE" w:rsidR="00FB29AC" w:rsidRPr="00A53689" w:rsidRDefault="00FB29AC" w:rsidP="00FB29AC">
            <w:pPr>
              <w:spacing w:before="40" w:after="40" w:line="200" w:lineRule="exact"/>
              <w:ind w:left="86" w:right="43"/>
              <w:rPr>
                <w:sz w:val="17"/>
              </w:rPr>
            </w:pPr>
            <w:r w:rsidRPr="00A53689">
              <w:rPr>
                <w:sz w:val="17"/>
              </w:rPr>
              <w:t>Strengthening national ownership and operational capacity</w:t>
            </w:r>
          </w:p>
        </w:tc>
      </w:tr>
      <w:tr w:rsidR="00FB29AC" w:rsidRPr="00A53689" w14:paraId="434464B7" w14:textId="77777777" w:rsidTr="00674BD1">
        <w:tc>
          <w:tcPr>
            <w:tcW w:w="1311" w:type="pct"/>
          </w:tcPr>
          <w:p w14:paraId="0801E528" w14:textId="6D4C0183" w:rsidR="00FB29AC" w:rsidRPr="00A53689" w:rsidRDefault="00FB29AC" w:rsidP="00FB29AC">
            <w:pPr>
              <w:spacing w:before="40" w:after="40" w:line="200" w:lineRule="exact"/>
              <w:ind w:right="43"/>
              <w:rPr>
                <w:sz w:val="17"/>
              </w:rPr>
            </w:pPr>
            <w:r w:rsidRPr="0029701C">
              <w:rPr>
                <w:sz w:val="17"/>
              </w:rPr>
              <w:t>25/6</w:t>
            </w:r>
          </w:p>
        </w:tc>
        <w:tc>
          <w:tcPr>
            <w:tcW w:w="3689" w:type="pct"/>
          </w:tcPr>
          <w:p w14:paraId="4BC0ECAC" w14:textId="2B8B241A" w:rsidR="00FB29AC" w:rsidRPr="00A53689" w:rsidRDefault="00FB29AC" w:rsidP="00FB29AC">
            <w:pPr>
              <w:spacing w:before="40" w:after="40" w:line="200" w:lineRule="exact"/>
              <w:ind w:left="86" w:right="43"/>
              <w:rPr>
                <w:sz w:val="17"/>
              </w:rPr>
            </w:pPr>
            <w:r w:rsidRPr="00A53689">
              <w:rPr>
                <w:sz w:val="17"/>
              </w:rPr>
              <w:t>International guidelines on urban and territorial planning</w:t>
            </w:r>
          </w:p>
        </w:tc>
      </w:tr>
      <w:tr w:rsidR="00FB29AC" w:rsidRPr="00A53689" w14:paraId="5799A771" w14:textId="77777777" w:rsidTr="00674BD1">
        <w:tc>
          <w:tcPr>
            <w:tcW w:w="1311" w:type="pct"/>
          </w:tcPr>
          <w:p w14:paraId="7C6FF7ED" w14:textId="777E4449" w:rsidR="00FB29AC" w:rsidRPr="00A53689" w:rsidRDefault="00FB29AC" w:rsidP="00FB29AC">
            <w:pPr>
              <w:spacing w:before="40" w:after="40" w:line="200" w:lineRule="exact"/>
              <w:ind w:right="43"/>
              <w:rPr>
                <w:sz w:val="17"/>
              </w:rPr>
            </w:pPr>
            <w:r w:rsidRPr="0029701C">
              <w:rPr>
                <w:sz w:val="17"/>
              </w:rPr>
              <w:t>25/7</w:t>
            </w:r>
          </w:p>
        </w:tc>
        <w:tc>
          <w:tcPr>
            <w:tcW w:w="3689" w:type="pct"/>
          </w:tcPr>
          <w:p w14:paraId="6E874CC9" w14:textId="13F4CECB" w:rsidR="00FB29AC" w:rsidRPr="00A53689" w:rsidRDefault="00FB29AC" w:rsidP="00FB29AC">
            <w:pPr>
              <w:spacing w:before="40" w:after="40" w:line="200" w:lineRule="exact"/>
              <w:ind w:left="86" w:right="43"/>
              <w:rPr>
                <w:sz w:val="17"/>
              </w:rPr>
            </w:pPr>
            <w:r w:rsidRPr="00A53689">
              <w:rPr>
                <w:sz w:val="17"/>
              </w:rPr>
              <w:t>United Nations Human Settlements Programme governance reform</w:t>
            </w:r>
          </w:p>
        </w:tc>
      </w:tr>
      <w:tr w:rsidR="00FB29AC" w:rsidRPr="00A53689" w14:paraId="7315FCD7" w14:textId="77777777" w:rsidTr="00674BD1">
        <w:tc>
          <w:tcPr>
            <w:tcW w:w="1311" w:type="pct"/>
          </w:tcPr>
          <w:p w14:paraId="2A012013" w14:textId="441D5E32" w:rsidR="00FB29AC" w:rsidRPr="00A53689" w:rsidRDefault="00FB29AC" w:rsidP="00FB29AC">
            <w:pPr>
              <w:spacing w:before="40" w:after="40" w:line="200" w:lineRule="exact"/>
              <w:ind w:right="43"/>
              <w:rPr>
                <w:sz w:val="17"/>
              </w:rPr>
            </w:pPr>
            <w:r w:rsidRPr="0029701C">
              <w:rPr>
                <w:sz w:val="17"/>
              </w:rPr>
              <w:t>26/4</w:t>
            </w:r>
          </w:p>
        </w:tc>
        <w:tc>
          <w:tcPr>
            <w:tcW w:w="3689" w:type="pct"/>
          </w:tcPr>
          <w:p w14:paraId="08384E06" w14:textId="31ADF0F4" w:rsidR="00FB29AC" w:rsidRPr="00A53689" w:rsidRDefault="00FB29AC" w:rsidP="00FB29AC">
            <w:pPr>
              <w:spacing w:before="40" w:after="40" w:line="200" w:lineRule="exact"/>
              <w:ind w:left="86" w:right="43"/>
              <w:rPr>
                <w:sz w:val="17"/>
              </w:rPr>
            </w:pPr>
            <w:r w:rsidRPr="00A53689">
              <w:rPr>
                <w:sz w:val="17"/>
              </w:rPr>
              <w:t>Promoting safety in cities and human settlements</w:t>
            </w:r>
          </w:p>
        </w:tc>
      </w:tr>
      <w:tr w:rsidR="00FB29AC" w:rsidRPr="00A53689" w14:paraId="5DC0D379" w14:textId="77777777" w:rsidTr="00674BD1">
        <w:tc>
          <w:tcPr>
            <w:tcW w:w="1311" w:type="pct"/>
          </w:tcPr>
          <w:p w14:paraId="64CB0D4F" w14:textId="43574E21" w:rsidR="00FB29AC" w:rsidRPr="00A53689" w:rsidRDefault="00FB29AC" w:rsidP="00FB29AC">
            <w:pPr>
              <w:spacing w:before="40" w:after="40" w:line="200" w:lineRule="exact"/>
              <w:ind w:right="43"/>
              <w:rPr>
                <w:sz w:val="17"/>
              </w:rPr>
            </w:pPr>
            <w:r w:rsidRPr="0029701C">
              <w:rPr>
                <w:sz w:val="17"/>
              </w:rPr>
              <w:t>26/5</w:t>
            </w:r>
          </w:p>
        </w:tc>
        <w:tc>
          <w:tcPr>
            <w:tcW w:w="3689" w:type="pct"/>
          </w:tcPr>
          <w:p w14:paraId="5CCA7394" w14:textId="790184BF" w:rsidR="00FB29AC" w:rsidRPr="00A53689" w:rsidRDefault="00FB29AC" w:rsidP="00FB29AC">
            <w:pPr>
              <w:spacing w:before="40" w:after="40" w:line="200" w:lineRule="exact"/>
              <w:ind w:left="86" w:right="43"/>
              <w:rPr>
                <w:sz w:val="17"/>
              </w:rPr>
            </w:pPr>
            <w:r w:rsidRPr="00A53689">
              <w:rPr>
                <w:sz w:val="17"/>
              </w:rPr>
              <w:t>Regional technical support on sustainable housing and urban development by regional consultative structures</w:t>
            </w:r>
          </w:p>
        </w:tc>
      </w:tr>
      <w:tr w:rsidR="00FB29AC" w:rsidRPr="00A53689" w14:paraId="6AE8EB4A" w14:textId="77777777" w:rsidTr="00674BD1">
        <w:tc>
          <w:tcPr>
            <w:tcW w:w="1311" w:type="pct"/>
          </w:tcPr>
          <w:p w14:paraId="307BB9CF" w14:textId="199D0290" w:rsidR="00FB29AC" w:rsidRPr="00A53689" w:rsidRDefault="00FB29AC" w:rsidP="00FB29AC">
            <w:pPr>
              <w:spacing w:before="40" w:after="40" w:line="200" w:lineRule="exact"/>
              <w:ind w:right="43"/>
              <w:rPr>
                <w:sz w:val="17"/>
              </w:rPr>
            </w:pPr>
            <w:r w:rsidRPr="0029701C">
              <w:rPr>
                <w:sz w:val="17"/>
              </w:rPr>
              <w:t>26/6</w:t>
            </w:r>
          </w:p>
        </w:tc>
        <w:tc>
          <w:tcPr>
            <w:tcW w:w="3689" w:type="pct"/>
          </w:tcPr>
          <w:p w14:paraId="1594074E" w14:textId="4A4E97DC" w:rsidR="00FB29AC" w:rsidRPr="00A53689" w:rsidRDefault="00FB29AC" w:rsidP="00FB29AC">
            <w:pPr>
              <w:spacing w:before="40" w:after="40" w:line="200" w:lineRule="exact"/>
              <w:ind w:left="86" w:right="43"/>
              <w:rPr>
                <w:sz w:val="17"/>
              </w:rPr>
            </w:pPr>
            <w:r w:rsidRPr="00A53689">
              <w:rPr>
                <w:sz w:val="17"/>
              </w:rPr>
              <w:t>World Urban Forum</w:t>
            </w:r>
          </w:p>
        </w:tc>
      </w:tr>
      <w:tr w:rsidR="00FB29AC" w:rsidRPr="00A53689" w14:paraId="4047D32B" w14:textId="77777777" w:rsidTr="00674BD1">
        <w:tc>
          <w:tcPr>
            <w:tcW w:w="1311" w:type="pct"/>
          </w:tcPr>
          <w:p w14:paraId="61BC8C00" w14:textId="13E07D6D" w:rsidR="00FB29AC" w:rsidRPr="00A53689" w:rsidRDefault="00FB29AC" w:rsidP="00FB29AC">
            <w:pPr>
              <w:spacing w:before="40" w:after="40" w:line="200" w:lineRule="exact"/>
              <w:ind w:right="43"/>
              <w:rPr>
                <w:sz w:val="17"/>
              </w:rPr>
            </w:pPr>
            <w:r w:rsidRPr="0029701C">
              <w:rPr>
                <w:sz w:val="17"/>
              </w:rPr>
              <w:t>26/9</w:t>
            </w:r>
          </w:p>
        </w:tc>
        <w:tc>
          <w:tcPr>
            <w:tcW w:w="3689" w:type="pct"/>
          </w:tcPr>
          <w:p w14:paraId="1953D610" w14:textId="4424B228" w:rsidR="00FB29AC" w:rsidRPr="00A53689" w:rsidRDefault="00FB29AC" w:rsidP="00FB29AC">
            <w:pPr>
              <w:spacing w:before="40" w:after="40" w:line="200" w:lineRule="exact"/>
              <w:ind w:left="86" w:right="43"/>
              <w:rPr>
                <w:sz w:val="17"/>
              </w:rPr>
            </w:pPr>
            <w:r w:rsidRPr="00A53689">
              <w:rPr>
                <w:sz w:val="17"/>
              </w:rPr>
              <w:t>Human settlements development in the Occupied Palestinian Territory</w:t>
            </w:r>
          </w:p>
        </w:tc>
      </w:tr>
    </w:tbl>
    <w:p w14:paraId="319DA6AE" w14:textId="77777777" w:rsidR="00FB29AC" w:rsidRPr="00A53689" w:rsidRDefault="00FB29AC" w:rsidP="00FB29AC">
      <w:pPr>
        <w:pStyle w:val="DualTxt"/>
        <w:spacing w:after="0" w:line="240" w:lineRule="auto"/>
        <w:rPr>
          <w:sz w:val="2"/>
          <w:lang w:val="en-US"/>
        </w:rPr>
        <w:sectPr w:rsidR="00FB29AC" w:rsidRPr="00A53689" w:rsidSect="00FB29AC">
          <w:endnotePr>
            <w:numFmt w:val="decimal"/>
          </w:endnotePr>
          <w:type w:val="continuous"/>
          <w:pgSz w:w="12240" w:h="15840"/>
          <w:pgMar w:top="1440" w:right="1195" w:bottom="1152" w:left="1195" w:header="432" w:footer="504" w:gutter="0"/>
          <w:cols w:num="2" w:space="240"/>
          <w:noEndnote/>
          <w:docGrid w:linePitch="360"/>
        </w:sectPr>
      </w:pPr>
    </w:p>
    <w:p w14:paraId="6FBE93A9" w14:textId="0810227A" w:rsidR="007B3563" w:rsidRPr="00A53689" w:rsidRDefault="007B3563" w:rsidP="00FB29AC">
      <w:pPr>
        <w:pStyle w:val="SingleTxt"/>
        <w:spacing w:after="0" w:line="120" w:lineRule="exact"/>
        <w:rPr>
          <w:sz w:val="10"/>
          <w:lang w:val="en-US"/>
        </w:rPr>
      </w:pPr>
    </w:p>
    <w:p w14:paraId="6E075DD0" w14:textId="5DB00691" w:rsidR="00FB29AC" w:rsidRPr="00A53689" w:rsidRDefault="00FB29AC" w:rsidP="00FB29AC">
      <w:pPr>
        <w:pStyle w:val="H4"/>
        <w:ind w:right="1260"/>
        <w:rPr>
          <w:lang w:val="en-US"/>
        </w:rPr>
      </w:pPr>
      <w:r w:rsidRPr="00A53689">
        <w:rPr>
          <w:lang w:val="en-US"/>
        </w:rPr>
        <w:t>Economic and Social Council resolutions</w:t>
      </w:r>
    </w:p>
    <w:p w14:paraId="44F8CE6E" w14:textId="239AE662" w:rsidR="00FB29AC" w:rsidRPr="00A53689" w:rsidRDefault="00FB29AC" w:rsidP="00FB29AC">
      <w:pPr>
        <w:pStyle w:val="SingleTxt"/>
        <w:spacing w:after="0" w:line="120" w:lineRule="exact"/>
        <w:rPr>
          <w:sz w:val="10"/>
          <w:lang w:val="en-US"/>
        </w:rPr>
      </w:pPr>
    </w:p>
    <w:p w14:paraId="07C0E10F" w14:textId="77777777" w:rsidR="00FF15EA" w:rsidRPr="00A53689" w:rsidRDefault="00FF15EA" w:rsidP="00FB29AC">
      <w:pPr>
        <w:pStyle w:val="SingleTxt"/>
        <w:spacing w:after="0" w:line="120" w:lineRule="exact"/>
        <w:rPr>
          <w:sz w:val="10"/>
          <w:lang w:val="en-US"/>
        </w:rPr>
        <w:sectPr w:rsidR="00FF15EA" w:rsidRPr="00A53689" w:rsidSect="00FB29AC">
          <w:endnotePr>
            <w:numFmt w:val="decimal"/>
          </w:endnotePr>
          <w:type w:val="continuous"/>
          <w:pgSz w:w="12240" w:h="15840"/>
          <w:pgMar w:top="1440" w:right="1195" w:bottom="1152" w:left="1195" w:header="432" w:footer="504"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3545"/>
      </w:tblGrid>
      <w:tr w:rsidR="00FB29AC" w:rsidRPr="00A53689" w14:paraId="4B9C2F66" w14:textId="77777777" w:rsidTr="00674BD1">
        <w:tc>
          <w:tcPr>
            <w:tcW w:w="1311" w:type="pct"/>
          </w:tcPr>
          <w:p w14:paraId="0B2F022C" w14:textId="31814F84" w:rsidR="00FB29AC" w:rsidRPr="00A53689" w:rsidRDefault="00FB29AC" w:rsidP="00FF15EA">
            <w:pPr>
              <w:spacing w:before="40" w:after="40" w:line="200" w:lineRule="exact"/>
              <w:ind w:right="43"/>
              <w:rPr>
                <w:sz w:val="17"/>
              </w:rPr>
            </w:pPr>
            <w:r w:rsidRPr="00A53689">
              <w:rPr>
                <w:sz w:val="17"/>
              </w:rPr>
              <w:t>2003/62</w:t>
            </w:r>
          </w:p>
        </w:tc>
        <w:tc>
          <w:tcPr>
            <w:tcW w:w="3689" w:type="pct"/>
          </w:tcPr>
          <w:p w14:paraId="2573193E" w14:textId="77777777" w:rsidR="00FB29AC" w:rsidRPr="00A53689" w:rsidRDefault="00FB29AC" w:rsidP="00FF15EA">
            <w:pPr>
              <w:spacing w:before="40" w:after="40" w:line="200" w:lineRule="exact"/>
              <w:ind w:left="86" w:right="43"/>
              <w:rPr>
                <w:sz w:val="17"/>
              </w:rPr>
            </w:pPr>
            <w:r w:rsidRPr="00A53689">
              <w:rPr>
                <w:sz w:val="17"/>
              </w:rPr>
              <w:t>Coordinated implementation of the Habitat Agenda</w:t>
            </w:r>
          </w:p>
        </w:tc>
      </w:tr>
      <w:tr w:rsidR="00FB29AC" w:rsidRPr="00A53689" w14:paraId="4A0C5773" w14:textId="77777777" w:rsidTr="00674BD1">
        <w:tc>
          <w:tcPr>
            <w:tcW w:w="1311" w:type="pct"/>
          </w:tcPr>
          <w:p w14:paraId="41D327A8" w14:textId="630504EE" w:rsidR="00FB29AC" w:rsidRPr="00A53689" w:rsidRDefault="0078207D" w:rsidP="00FF15EA">
            <w:pPr>
              <w:spacing w:before="40" w:after="40" w:line="200" w:lineRule="exact"/>
              <w:ind w:right="43"/>
              <w:rPr>
                <w:rStyle w:val="Hyperlink"/>
                <w:sz w:val="17"/>
              </w:rPr>
            </w:pPr>
            <w:hyperlink r:id="rId42" w:history="1">
              <w:r w:rsidR="00FB29AC" w:rsidRPr="00A53689">
                <w:rPr>
                  <w:rStyle w:val="Hyperlink"/>
                  <w:sz w:val="17"/>
                </w:rPr>
                <w:t>2017/24</w:t>
              </w:r>
            </w:hyperlink>
          </w:p>
        </w:tc>
        <w:tc>
          <w:tcPr>
            <w:tcW w:w="3689" w:type="pct"/>
          </w:tcPr>
          <w:p w14:paraId="5CA53C6F" w14:textId="77777777" w:rsidR="00FB29AC" w:rsidRPr="00A53689" w:rsidRDefault="00FB29AC" w:rsidP="00FF15EA">
            <w:pPr>
              <w:spacing w:before="40" w:after="40" w:line="200" w:lineRule="exact"/>
              <w:ind w:left="86" w:right="43"/>
              <w:rPr>
                <w:sz w:val="17"/>
              </w:rPr>
            </w:pPr>
            <w:r w:rsidRPr="00A53689">
              <w:rPr>
                <w:sz w:val="17"/>
              </w:rPr>
              <w:t xml:space="preserve">Human settlements </w:t>
            </w:r>
          </w:p>
        </w:tc>
      </w:tr>
      <w:tr w:rsidR="00FB29AC" w:rsidRPr="00A53689" w14:paraId="3E62C77C" w14:textId="77777777" w:rsidTr="00674BD1">
        <w:tc>
          <w:tcPr>
            <w:tcW w:w="1311" w:type="pct"/>
          </w:tcPr>
          <w:p w14:paraId="49FC064F" w14:textId="529AF933" w:rsidR="00FB29AC" w:rsidRPr="00A53689" w:rsidRDefault="0078207D" w:rsidP="00FF15EA">
            <w:pPr>
              <w:spacing w:before="40" w:after="40" w:line="200" w:lineRule="exact"/>
              <w:ind w:right="43"/>
              <w:rPr>
                <w:rStyle w:val="Hyperlink"/>
                <w:sz w:val="17"/>
              </w:rPr>
            </w:pPr>
            <w:hyperlink r:id="rId43" w:history="1">
              <w:r w:rsidR="00FF15EA" w:rsidRPr="00A53689">
                <w:rPr>
                  <w:rStyle w:val="Hyperlink"/>
                  <w:sz w:val="17"/>
                </w:rPr>
                <w:t>2020/7</w:t>
              </w:r>
            </w:hyperlink>
          </w:p>
        </w:tc>
        <w:tc>
          <w:tcPr>
            <w:tcW w:w="3689" w:type="pct"/>
          </w:tcPr>
          <w:p w14:paraId="648ADD90" w14:textId="579235E4" w:rsidR="00FB29AC" w:rsidRPr="00A53689" w:rsidRDefault="00FF15EA" w:rsidP="00FF15EA">
            <w:pPr>
              <w:spacing w:before="40" w:after="40" w:line="200" w:lineRule="exact"/>
              <w:ind w:left="86" w:right="43"/>
              <w:rPr>
                <w:sz w:val="17"/>
              </w:rPr>
            </w:pPr>
            <w:r w:rsidRPr="00A53689">
              <w:rPr>
                <w:sz w:val="17"/>
              </w:rPr>
              <w:t>Affordable housing and social protection systems for all to address homelessness</w:t>
            </w:r>
          </w:p>
        </w:tc>
      </w:tr>
      <w:tr w:rsidR="00FB29AC" w:rsidRPr="00A53689" w14:paraId="6C0633BA" w14:textId="77777777" w:rsidTr="00674BD1">
        <w:tc>
          <w:tcPr>
            <w:tcW w:w="1311" w:type="pct"/>
          </w:tcPr>
          <w:p w14:paraId="57CFBE43" w14:textId="1E56F218" w:rsidR="00FB29AC" w:rsidRPr="00A53689" w:rsidRDefault="0078207D" w:rsidP="00FF15EA">
            <w:pPr>
              <w:spacing w:before="40" w:after="40" w:line="200" w:lineRule="exact"/>
              <w:ind w:right="43"/>
              <w:rPr>
                <w:rStyle w:val="Hyperlink"/>
                <w:sz w:val="17"/>
              </w:rPr>
            </w:pPr>
            <w:hyperlink r:id="rId44" w:history="1">
              <w:r w:rsidR="00FF15EA" w:rsidRPr="00A53689">
                <w:rPr>
                  <w:rStyle w:val="Hyperlink"/>
                  <w:sz w:val="17"/>
                </w:rPr>
                <w:t>2020/9</w:t>
              </w:r>
            </w:hyperlink>
          </w:p>
        </w:tc>
        <w:tc>
          <w:tcPr>
            <w:tcW w:w="3689" w:type="pct"/>
          </w:tcPr>
          <w:p w14:paraId="57C2ECE0" w14:textId="3634A40D" w:rsidR="00FB29AC" w:rsidRPr="00A53689" w:rsidRDefault="00FF15EA" w:rsidP="00FF15EA">
            <w:pPr>
              <w:spacing w:before="40" w:after="40" w:line="200" w:lineRule="exact"/>
              <w:ind w:left="86" w:right="43"/>
              <w:rPr>
                <w:sz w:val="17"/>
              </w:rPr>
            </w:pPr>
            <w:r w:rsidRPr="00A53689">
              <w:rPr>
                <w:sz w:val="17"/>
              </w:rPr>
              <w:t>Mainstreaming a gender perspective into all policies and programmes in the United Nations system</w:t>
            </w:r>
          </w:p>
        </w:tc>
      </w:tr>
    </w:tbl>
    <w:p w14:paraId="3E54BEBF" w14:textId="77777777" w:rsidR="00FF15EA" w:rsidRPr="00A53689" w:rsidRDefault="00FF15EA" w:rsidP="007E79B9">
      <w:pPr>
        <w:pStyle w:val="DualTxt"/>
        <w:spacing w:after="0" w:line="240" w:lineRule="auto"/>
        <w:rPr>
          <w:sz w:val="2"/>
          <w:lang w:val="en-US"/>
        </w:rPr>
        <w:sectPr w:rsidR="00FF15EA" w:rsidRPr="00A53689" w:rsidSect="00FF15EA">
          <w:endnotePr>
            <w:numFmt w:val="decimal"/>
          </w:endnotePr>
          <w:type w:val="continuous"/>
          <w:pgSz w:w="12240" w:h="15840"/>
          <w:pgMar w:top="1440" w:right="1195" w:bottom="1152" w:left="1195" w:header="432" w:footer="504" w:gutter="0"/>
          <w:cols w:num="2" w:space="240"/>
          <w:noEndnote/>
          <w:docGrid w:linePitch="360"/>
        </w:sectPr>
      </w:pPr>
    </w:p>
    <w:p w14:paraId="7BAC103C" w14:textId="48D43852" w:rsidR="00FB29AC" w:rsidRPr="00A53689" w:rsidRDefault="00FB29AC" w:rsidP="00202BBA">
      <w:pPr>
        <w:pStyle w:val="SingleTxt"/>
        <w:spacing w:after="0" w:line="120" w:lineRule="exact"/>
        <w:rPr>
          <w:sz w:val="10"/>
          <w:lang w:val="en-US"/>
        </w:rPr>
      </w:pPr>
    </w:p>
    <w:p w14:paraId="10817291" w14:textId="5114D0CF" w:rsidR="00202BBA" w:rsidRPr="00A53689" w:rsidRDefault="00202BBA" w:rsidP="00202BBA">
      <w:pPr>
        <w:pStyle w:val="SingleTxt"/>
        <w:spacing w:after="0" w:line="120" w:lineRule="exact"/>
        <w:rPr>
          <w:sz w:val="10"/>
          <w:lang w:val="en-US"/>
        </w:rPr>
      </w:pPr>
    </w:p>
    <w:p w14:paraId="269B6E84" w14:textId="33EB8536" w:rsidR="00202BBA" w:rsidRPr="00A53689" w:rsidRDefault="00202BBA" w:rsidP="00202BBA">
      <w:pPr>
        <w:pStyle w:val="SingleTxt"/>
        <w:spacing w:after="0" w:line="120" w:lineRule="exact"/>
        <w:rPr>
          <w:sz w:val="10"/>
          <w:lang w:val="en-US"/>
        </w:rPr>
      </w:pPr>
    </w:p>
    <w:p w14:paraId="5179120D" w14:textId="77777777" w:rsidR="00202BBA" w:rsidRPr="00A53689" w:rsidRDefault="00202BBA" w:rsidP="00202BBA">
      <w:pPr>
        <w:pStyle w:val="H1"/>
        <w:tabs>
          <w:tab w:val="clear" w:pos="1742"/>
        </w:tabs>
        <w:spacing w:line="240" w:lineRule="auto"/>
        <w:ind w:right="0" w:firstLine="0"/>
        <w:rPr>
          <w:rFonts w:eastAsia="Times New Roman"/>
          <w:color w:val="000000" w:themeColor="text1"/>
          <w:spacing w:val="8"/>
          <w:w w:val="100"/>
          <w:kern w:val="0"/>
          <w:szCs w:val="24"/>
        </w:rPr>
      </w:pPr>
      <w:r w:rsidRPr="00A53689">
        <w:rPr>
          <w:rFonts w:eastAsia="Times New Roman"/>
          <w:color w:val="000000" w:themeColor="text1"/>
          <w:spacing w:val="8"/>
          <w:w w:val="100"/>
          <w:kern w:val="0"/>
          <w:szCs w:val="24"/>
        </w:rPr>
        <w:t>Deliverables</w:t>
      </w:r>
    </w:p>
    <w:p w14:paraId="2CB64E9F" w14:textId="2792674E" w:rsidR="00202BBA" w:rsidRPr="006F01E4" w:rsidRDefault="00202BBA" w:rsidP="006F01E4">
      <w:pPr>
        <w:spacing w:line="120" w:lineRule="exact"/>
        <w:rPr>
          <w:color w:val="000000" w:themeColor="text1"/>
          <w:sz w:val="10"/>
        </w:rPr>
      </w:pPr>
    </w:p>
    <w:p w14:paraId="3691DF00" w14:textId="77777777" w:rsidR="006F01E4" w:rsidRPr="00A53689" w:rsidRDefault="006F01E4" w:rsidP="00202BBA">
      <w:pPr>
        <w:spacing w:line="120" w:lineRule="exact"/>
        <w:rPr>
          <w:color w:val="000000" w:themeColor="text1"/>
          <w:sz w:val="10"/>
        </w:rPr>
      </w:pPr>
    </w:p>
    <w:p w14:paraId="68F2F1B1" w14:textId="490AC4E6" w:rsidR="00202BBA" w:rsidRPr="00A53689" w:rsidRDefault="00202BBA"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rFonts w:eastAsia="Times New Roman"/>
          <w:spacing w:val="6"/>
          <w:w w:val="100"/>
          <w:kern w:val="0"/>
        </w:rPr>
      </w:pPr>
      <w:r w:rsidRPr="00A53689">
        <w:rPr>
          <w:rFonts w:eastAsia="Times New Roman"/>
          <w:iCs/>
          <w:spacing w:val="6"/>
          <w:w w:val="100"/>
          <w:kern w:val="0"/>
        </w:rPr>
        <w:tab/>
        <w:t>15.25</w:t>
      </w:r>
      <w:r w:rsidRPr="00A53689">
        <w:rPr>
          <w:rFonts w:eastAsia="Times New Roman"/>
          <w:iCs/>
          <w:spacing w:val="6"/>
          <w:w w:val="100"/>
          <w:kern w:val="0"/>
        </w:rPr>
        <w:tab/>
      </w:r>
      <w:r w:rsidRPr="00A53689">
        <w:t>Table 15.1 lists all cross-cutting deliverables, by category and subcategory, for the period 2020</w:t>
      </w:r>
      <w:r w:rsidR="006F01E4" w:rsidRPr="006F01E4">
        <w:t>–</w:t>
      </w:r>
      <w:r w:rsidRPr="00A53689">
        <w:t>2022.</w:t>
      </w:r>
    </w:p>
    <w:p w14:paraId="4B2EFB87" w14:textId="2C96DCDD" w:rsidR="00202BBA" w:rsidRPr="00A53689" w:rsidRDefault="00202BBA"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rFonts w:eastAsia="Calibri"/>
          <w:spacing w:val="0"/>
          <w:w w:val="100"/>
          <w:kern w:val="0"/>
          <w:sz w:val="10"/>
          <w:szCs w:val="12"/>
        </w:rPr>
      </w:pPr>
    </w:p>
    <w:p w14:paraId="023CB623" w14:textId="77777777" w:rsidR="00202BBA" w:rsidRPr="00A53689" w:rsidRDefault="00202BBA" w:rsidP="00202B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A53689">
        <w:rPr>
          <w:b w:val="0"/>
          <w:bCs/>
        </w:rPr>
        <w:t>Table 15.1</w:t>
      </w:r>
    </w:p>
    <w:p w14:paraId="6E240579" w14:textId="344C2FD4" w:rsidR="00202BBA" w:rsidRPr="00A53689" w:rsidRDefault="00202BBA" w:rsidP="00202BB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Cross-cutting deliverables for the period 2020–2022, by category and subcategory</w:t>
      </w:r>
    </w:p>
    <w:p w14:paraId="69D3B406" w14:textId="79AE4C7A" w:rsidR="00202BBA" w:rsidRPr="00A53689" w:rsidRDefault="00202BBA" w:rsidP="00202BBA">
      <w:pPr>
        <w:pStyle w:val="SingleTxt"/>
        <w:spacing w:after="0" w:line="120" w:lineRule="exact"/>
        <w:rPr>
          <w:sz w:val="10"/>
          <w:lang w:val="en-US"/>
        </w:rPr>
      </w:pPr>
    </w:p>
    <w:p w14:paraId="2EB8DFA7" w14:textId="0568E2E9" w:rsidR="00202BBA" w:rsidRPr="00A53689" w:rsidRDefault="00202BBA" w:rsidP="00202BBA">
      <w:pPr>
        <w:pStyle w:val="SingleTxt"/>
        <w:spacing w:after="0" w:line="120" w:lineRule="exact"/>
        <w:rPr>
          <w:sz w:val="10"/>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277"/>
        <w:gridCol w:w="893"/>
        <w:gridCol w:w="894"/>
        <w:gridCol w:w="892"/>
        <w:gridCol w:w="894"/>
      </w:tblGrid>
      <w:tr w:rsidR="00202BBA" w:rsidRPr="00A53689" w14:paraId="101D9D42" w14:textId="77777777" w:rsidTr="00202BBA">
        <w:trPr>
          <w:tblHeader/>
        </w:trPr>
        <w:tc>
          <w:tcPr>
            <w:tcW w:w="3186" w:type="pct"/>
            <w:tcBorders>
              <w:top w:val="single" w:sz="4" w:space="0" w:color="auto"/>
              <w:bottom w:val="single" w:sz="12" w:space="0" w:color="auto"/>
            </w:tcBorders>
            <w:shd w:val="clear" w:color="auto" w:fill="auto"/>
            <w:vAlign w:val="bottom"/>
          </w:tcPr>
          <w:p w14:paraId="6CED2E39"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rPr>
                <w:rFonts w:asciiTheme="majorBidi" w:hAnsiTheme="majorBidi" w:cstheme="majorBidi"/>
                <w:i/>
                <w:sz w:val="14"/>
              </w:rPr>
            </w:pPr>
            <w:bookmarkStart w:id="3" w:name="_Hlk34553186"/>
            <w:r w:rsidRPr="00A53689">
              <w:rPr>
                <w:rFonts w:asciiTheme="majorBidi" w:hAnsiTheme="majorBidi" w:cstheme="majorBidi"/>
                <w:i/>
                <w:sz w:val="14"/>
              </w:rPr>
              <w:t>Category and subcategory</w:t>
            </w:r>
          </w:p>
        </w:tc>
        <w:tc>
          <w:tcPr>
            <w:tcW w:w="453" w:type="pct"/>
            <w:tcBorders>
              <w:top w:val="single" w:sz="4" w:space="0" w:color="auto"/>
              <w:bottom w:val="single" w:sz="12" w:space="0" w:color="auto"/>
            </w:tcBorders>
            <w:shd w:val="clear" w:color="auto" w:fill="auto"/>
            <w:vAlign w:val="bottom"/>
          </w:tcPr>
          <w:p w14:paraId="62132EB3" w14:textId="7FF43CB6"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rFonts w:asciiTheme="majorBidi" w:hAnsiTheme="majorBidi" w:cstheme="majorBidi"/>
                <w:i/>
                <w:sz w:val="14"/>
              </w:rPr>
            </w:pPr>
            <w:r w:rsidRPr="00A53689">
              <w:rPr>
                <w:rFonts w:asciiTheme="majorBidi" w:hAnsiTheme="majorBidi" w:cstheme="majorBidi"/>
                <w:i/>
                <w:sz w:val="14"/>
              </w:rPr>
              <w:t>20</w:t>
            </w:r>
            <w:r w:rsidR="00F62CD3" w:rsidRPr="00A53689">
              <w:rPr>
                <w:rFonts w:asciiTheme="majorBidi" w:hAnsiTheme="majorBidi" w:cstheme="majorBidi"/>
                <w:i/>
                <w:sz w:val="14"/>
              </w:rPr>
              <w:t>20</w:t>
            </w:r>
            <w:r w:rsidRPr="00A53689">
              <w:rPr>
                <w:rFonts w:asciiTheme="majorBidi" w:hAnsiTheme="majorBidi" w:cstheme="majorBidi"/>
                <w:i/>
                <w:sz w:val="14"/>
              </w:rPr>
              <w:t xml:space="preserve"> planned</w:t>
            </w:r>
          </w:p>
        </w:tc>
        <w:tc>
          <w:tcPr>
            <w:tcW w:w="454" w:type="pct"/>
            <w:tcBorders>
              <w:top w:val="single" w:sz="4" w:space="0" w:color="auto"/>
              <w:bottom w:val="single" w:sz="12" w:space="0" w:color="auto"/>
            </w:tcBorders>
            <w:shd w:val="clear" w:color="auto" w:fill="auto"/>
            <w:vAlign w:val="bottom"/>
          </w:tcPr>
          <w:p w14:paraId="14F37BBF" w14:textId="72DFD3AC"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rFonts w:asciiTheme="majorBidi" w:hAnsiTheme="majorBidi" w:cstheme="majorBidi"/>
                <w:i/>
                <w:sz w:val="14"/>
              </w:rPr>
            </w:pPr>
            <w:r w:rsidRPr="00A53689">
              <w:rPr>
                <w:rFonts w:asciiTheme="majorBidi" w:hAnsiTheme="majorBidi" w:cstheme="majorBidi"/>
                <w:i/>
                <w:sz w:val="14"/>
              </w:rPr>
              <w:t>20</w:t>
            </w:r>
            <w:r w:rsidR="00F62CD3" w:rsidRPr="00A53689">
              <w:rPr>
                <w:rFonts w:asciiTheme="majorBidi" w:hAnsiTheme="majorBidi" w:cstheme="majorBidi"/>
                <w:i/>
                <w:sz w:val="14"/>
              </w:rPr>
              <w:t>20</w:t>
            </w:r>
            <w:r w:rsidRPr="00A53689">
              <w:rPr>
                <w:rFonts w:asciiTheme="majorBidi" w:hAnsiTheme="majorBidi" w:cstheme="majorBidi"/>
                <w:i/>
                <w:sz w:val="14"/>
              </w:rPr>
              <w:t xml:space="preserve"> actual</w:t>
            </w:r>
          </w:p>
        </w:tc>
        <w:tc>
          <w:tcPr>
            <w:tcW w:w="453" w:type="pct"/>
            <w:tcBorders>
              <w:top w:val="single" w:sz="4" w:space="0" w:color="auto"/>
              <w:bottom w:val="single" w:sz="12" w:space="0" w:color="auto"/>
            </w:tcBorders>
            <w:shd w:val="clear" w:color="auto" w:fill="auto"/>
            <w:vAlign w:val="bottom"/>
          </w:tcPr>
          <w:p w14:paraId="5BDF0562" w14:textId="1DCA59E3"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rFonts w:asciiTheme="majorBidi" w:hAnsiTheme="majorBidi" w:cstheme="majorBidi"/>
                <w:i/>
                <w:sz w:val="14"/>
              </w:rPr>
            </w:pPr>
            <w:r w:rsidRPr="00A53689">
              <w:rPr>
                <w:rFonts w:asciiTheme="majorBidi" w:hAnsiTheme="majorBidi" w:cstheme="majorBidi"/>
                <w:i/>
                <w:sz w:val="14"/>
              </w:rPr>
              <w:t>20</w:t>
            </w:r>
            <w:r w:rsidR="00F62CD3" w:rsidRPr="00A53689">
              <w:rPr>
                <w:rFonts w:asciiTheme="majorBidi" w:hAnsiTheme="majorBidi" w:cstheme="majorBidi"/>
                <w:i/>
                <w:sz w:val="14"/>
              </w:rPr>
              <w:t>21</w:t>
            </w:r>
            <w:r w:rsidRPr="00A53689">
              <w:rPr>
                <w:rFonts w:asciiTheme="majorBidi" w:hAnsiTheme="majorBidi" w:cstheme="majorBidi"/>
                <w:i/>
                <w:sz w:val="14"/>
              </w:rPr>
              <w:t xml:space="preserve"> planned</w:t>
            </w:r>
          </w:p>
        </w:tc>
        <w:tc>
          <w:tcPr>
            <w:tcW w:w="454" w:type="pct"/>
            <w:tcBorders>
              <w:top w:val="single" w:sz="4" w:space="0" w:color="auto"/>
              <w:bottom w:val="single" w:sz="12" w:space="0" w:color="auto"/>
            </w:tcBorders>
            <w:shd w:val="clear" w:color="auto" w:fill="auto"/>
            <w:vAlign w:val="bottom"/>
          </w:tcPr>
          <w:p w14:paraId="15DE66E2" w14:textId="19C5A144"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rFonts w:asciiTheme="majorBidi" w:hAnsiTheme="majorBidi" w:cstheme="majorBidi"/>
                <w:i/>
                <w:sz w:val="14"/>
              </w:rPr>
            </w:pPr>
            <w:r w:rsidRPr="00A53689">
              <w:rPr>
                <w:rFonts w:asciiTheme="majorBidi" w:hAnsiTheme="majorBidi" w:cstheme="majorBidi"/>
                <w:i/>
                <w:sz w:val="14"/>
              </w:rPr>
              <w:t>202</w:t>
            </w:r>
            <w:r w:rsidR="00F62CD3" w:rsidRPr="00A53689">
              <w:rPr>
                <w:rFonts w:asciiTheme="majorBidi" w:hAnsiTheme="majorBidi" w:cstheme="majorBidi"/>
                <w:i/>
                <w:sz w:val="14"/>
              </w:rPr>
              <w:t>2</w:t>
            </w:r>
            <w:r w:rsidRPr="00A53689">
              <w:rPr>
                <w:rFonts w:asciiTheme="majorBidi" w:hAnsiTheme="majorBidi" w:cstheme="majorBidi"/>
                <w:i/>
                <w:sz w:val="14"/>
              </w:rPr>
              <w:t xml:space="preserve"> planned</w:t>
            </w:r>
          </w:p>
        </w:tc>
      </w:tr>
      <w:tr w:rsidR="00202BBA" w:rsidRPr="00A53689" w14:paraId="2F0702CE" w14:textId="77777777" w:rsidTr="00202BBA">
        <w:trPr>
          <w:trHeight w:hRule="exact" w:val="115"/>
          <w:tblHeader/>
        </w:trPr>
        <w:tc>
          <w:tcPr>
            <w:tcW w:w="3186" w:type="pct"/>
            <w:tcBorders>
              <w:top w:val="single" w:sz="12" w:space="0" w:color="auto"/>
            </w:tcBorders>
            <w:shd w:val="clear" w:color="auto" w:fill="auto"/>
            <w:vAlign w:val="bottom"/>
          </w:tcPr>
          <w:p w14:paraId="5B26A672"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rFonts w:asciiTheme="majorBidi" w:hAnsiTheme="majorBidi" w:cstheme="majorBidi"/>
                <w:sz w:val="17"/>
              </w:rPr>
            </w:pPr>
          </w:p>
        </w:tc>
        <w:tc>
          <w:tcPr>
            <w:tcW w:w="453" w:type="pct"/>
            <w:tcBorders>
              <w:top w:val="single" w:sz="12" w:space="0" w:color="auto"/>
            </w:tcBorders>
            <w:shd w:val="clear" w:color="auto" w:fill="auto"/>
            <w:vAlign w:val="bottom"/>
          </w:tcPr>
          <w:p w14:paraId="74CC4977"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rFonts w:asciiTheme="majorBidi" w:hAnsiTheme="majorBidi" w:cstheme="majorBidi"/>
                <w:sz w:val="17"/>
              </w:rPr>
            </w:pPr>
          </w:p>
        </w:tc>
        <w:tc>
          <w:tcPr>
            <w:tcW w:w="454" w:type="pct"/>
            <w:tcBorders>
              <w:top w:val="single" w:sz="12" w:space="0" w:color="auto"/>
            </w:tcBorders>
            <w:shd w:val="clear" w:color="auto" w:fill="auto"/>
            <w:vAlign w:val="bottom"/>
          </w:tcPr>
          <w:p w14:paraId="5C2B4334"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rFonts w:asciiTheme="majorBidi" w:hAnsiTheme="majorBidi" w:cstheme="majorBidi"/>
                <w:sz w:val="17"/>
              </w:rPr>
            </w:pPr>
          </w:p>
        </w:tc>
        <w:tc>
          <w:tcPr>
            <w:tcW w:w="453" w:type="pct"/>
            <w:tcBorders>
              <w:top w:val="single" w:sz="12" w:space="0" w:color="auto"/>
            </w:tcBorders>
            <w:shd w:val="clear" w:color="auto" w:fill="auto"/>
            <w:vAlign w:val="bottom"/>
          </w:tcPr>
          <w:p w14:paraId="02BE0E2B"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rFonts w:asciiTheme="majorBidi" w:hAnsiTheme="majorBidi" w:cstheme="majorBidi"/>
                <w:sz w:val="17"/>
              </w:rPr>
            </w:pPr>
          </w:p>
        </w:tc>
        <w:tc>
          <w:tcPr>
            <w:tcW w:w="454" w:type="pct"/>
            <w:tcBorders>
              <w:top w:val="single" w:sz="12" w:space="0" w:color="auto"/>
            </w:tcBorders>
            <w:shd w:val="clear" w:color="auto" w:fill="auto"/>
            <w:vAlign w:val="bottom"/>
          </w:tcPr>
          <w:p w14:paraId="503226CA"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rFonts w:asciiTheme="majorBidi" w:hAnsiTheme="majorBidi" w:cstheme="majorBidi"/>
                <w:sz w:val="17"/>
              </w:rPr>
            </w:pPr>
          </w:p>
        </w:tc>
      </w:tr>
      <w:tr w:rsidR="00202BBA" w:rsidRPr="00A53689" w14:paraId="58D5EB92" w14:textId="77777777" w:rsidTr="00202BBA">
        <w:tc>
          <w:tcPr>
            <w:tcW w:w="3186" w:type="pct"/>
            <w:shd w:val="clear" w:color="auto" w:fill="auto"/>
            <w:vAlign w:val="bottom"/>
          </w:tcPr>
          <w:p w14:paraId="3B036723"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asciiTheme="majorBidi" w:hAnsiTheme="majorBidi" w:cstheme="majorBidi"/>
                <w:b/>
                <w:bCs/>
                <w:sz w:val="17"/>
              </w:rPr>
            </w:pPr>
            <w:r w:rsidRPr="00A53689">
              <w:rPr>
                <w:rFonts w:asciiTheme="majorBidi" w:hAnsiTheme="majorBidi" w:cstheme="majorBidi"/>
                <w:b/>
                <w:bCs/>
                <w:sz w:val="17"/>
              </w:rPr>
              <w:t>A.</w:t>
            </w:r>
            <w:r w:rsidRPr="00A53689">
              <w:rPr>
                <w:rFonts w:asciiTheme="majorBidi" w:hAnsiTheme="majorBidi" w:cstheme="majorBidi"/>
                <w:b/>
                <w:bCs/>
                <w:sz w:val="17"/>
              </w:rPr>
              <w:tab/>
              <w:t>Facilitation of the intergovernmental process and expert bodies</w:t>
            </w:r>
          </w:p>
        </w:tc>
        <w:tc>
          <w:tcPr>
            <w:tcW w:w="453" w:type="pct"/>
            <w:shd w:val="clear" w:color="auto" w:fill="auto"/>
            <w:vAlign w:val="bottom"/>
          </w:tcPr>
          <w:p w14:paraId="0C987C70"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p>
        </w:tc>
        <w:tc>
          <w:tcPr>
            <w:tcW w:w="454" w:type="pct"/>
            <w:shd w:val="clear" w:color="auto" w:fill="auto"/>
            <w:vAlign w:val="bottom"/>
          </w:tcPr>
          <w:p w14:paraId="50EA9C8B"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p>
        </w:tc>
        <w:tc>
          <w:tcPr>
            <w:tcW w:w="453" w:type="pct"/>
            <w:shd w:val="clear" w:color="auto" w:fill="auto"/>
            <w:vAlign w:val="bottom"/>
          </w:tcPr>
          <w:p w14:paraId="538461C1"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p>
        </w:tc>
        <w:tc>
          <w:tcPr>
            <w:tcW w:w="454" w:type="pct"/>
            <w:shd w:val="clear" w:color="auto" w:fill="auto"/>
            <w:vAlign w:val="bottom"/>
          </w:tcPr>
          <w:p w14:paraId="18A6FA1D"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p>
        </w:tc>
      </w:tr>
      <w:tr w:rsidR="00202BBA" w:rsidRPr="00A53689" w14:paraId="5E530292" w14:textId="77777777" w:rsidTr="00202BBA">
        <w:tc>
          <w:tcPr>
            <w:tcW w:w="3186" w:type="pct"/>
            <w:shd w:val="clear" w:color="auto" w:fill="auto"/>
            <w:vAlign w:val="bottom"/>
          </w:tcPr>
          <w:p w14:paraId="21BB335B"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asciiTheme="majorBidi" w:hAnsiTheme="majorBidi" w:cstheme="majorBidi"/>
                <w:b/>
                <w:bCs/>
                <w:sz w:val="17"/>
              </w:rPr>
            </w:pPr>
            <w:r w:rsidRPr="00A53689">
              <w:rPr>
                <w:rFonts w:asciiTheme="majorBidi" w:hAnsiTheme="majorBidi" w:cstheme="majorBidi"/>
                <w:b/>
                <w:bCs/>
                <w:sz w:val="17"/>
              </w:rPr>
              <w:tab/>
              <w:t xml:space="preserve">Parliamentary documentation </w:t>
            </w:r>
            <w:r w:rsidRPr="00A53689">
              <w:rPr>
                <w:rFonts w:asciiTheme="majorBidi" w:hAnsiTheme="majorBidi" w:cstheme="majorBidi"/>
                <w:bCs/>
                <w:sz w:val="17"/>
              </w:rPr>
              <w:t>(number of documents)</w:t>
            </w:r>
          </w:p>
        </w:tc>
        <w:tc>
          <w:tcPr>
            <w:tcW w:w="453" w:type="pct"/>
            <w:shd w:val="clear" w:color="auto" w:fill="auto"/>
            <w:vAlign w:val="bottom"/>
          </w:tcPr>
          <w:p w14:paraId="25ADF271"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w:t>
            </w:r>
          </w:p>
        </w:tc>
        <w:tc>
          <w:tcPr>
            <w:tcW w:w="454" w:type="pct"/>
            <w:shd w:val="clear" w:color="auto" w:fill="auto"/>
            <w:vAlign w:val="bottom"/>
          </w:tcPr>
          <w:p w14:paraId="1D3A9E5D"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w:t>
            </w:r>
          </w:p>
        </w:tc>
        <w:tc>
          <w:tcPr>
            <w:tcW w:w="453" w:type="pct"/>
            <w:shd w:val="clear" w:color="auto" w:fill="auto"/>
            <w:vAlign w:val="bottom"/>
          </w:tcPr>
          <w:p w14:paraId="6CDA09EF" w14:textId="48B693A1"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2</w:t>
            </w:r>
          </w:p>
        </w:tc>
        <w:tc>
          <w:tcPr>
            <w:tcW w:w="454" w:type="pct"/>
            <w:shd w:val="clear" w:color="auto" w:fill="auto"/>
            <w:vAlign w:val="bottom"/>
          </w:tcPr>
          <w:p w14:paraId="03BBFFDA"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2</w:t>
            </w:r>
          </w:p>
        </w:tc>
      </w:tr>
      <w:tr w:rsidR="00202BBA" w:rsidRPr="00A53689" w14:paraId="069EF3E7" w14:textId="77777777" w:rsidTr="00202BBA">
        <w:tc>
          <w:tcPr>
            <w:tcW w:w="3186" w:type="pct"/>
            <w:shd w:val="clear" w:color="auto" w:fill="auto"/>
            <w:vAlign w:val="bottom"/>
          </w:tcPr>
          <w:p w14:paraId="3196739B"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0" w:hanging="587"/>
              <w:jc w:val="left"/>
              <w:rPr>
                <w:rFonts w:asciiTheme="majorBidi" w:hAnsiTheme="majorBidi" w:cstheme="majorBidi"/>
                <w:sz w:val="17"/>
              </w:rPr>
            </w:pPr>
            <w:r w:rsidRPr="00A53689">
              <w:rPr>
                <w:rFonts w:asciiTheme="majorBidi" w:hAnsiTheme="majorBidi" w:cstheme="majorBidi"/>
                <w:sz w:val="17"/>
              </w:rPr>
              <w:tab/>
              <w:t>1.</w:t>
            </w:r>
            <w:r w:rsidRPr="00A53689">
              <w:rPr>
                <w:rFonts w:asciiTheme="majorBidi" w:hAnsiTheme="majorBidi" w:cstheme="majorBidi"/>
                <w:sz w:val="17"/>
              </w:rPr>
              <w:tab/>
            </w:r>
            <w:r w:rsidRPr="00A53689">
              <w:rPr>
                <w:rFonts w:asciiTheme="majorBidi" w:hAnsiTheme="majorBidi" w:cstheme="majorBidi"/>
                <w:sz w:val="17"/>
                <w:lang w:val="en-GB"/>
              </w:rPr>
              <w:t>UN-Habitat inputs to reports of the Secretary-General and other United Nations system-wide documents</w:t>
            </w:r>
          </w:p>
        </w:tc>
        <w:tc>
          <w:tcPr>
            <w:tcW w:w="453" w:type="pct"/>
            <w:shd w:val="clear" w:color="auto" w:fill="auto"/>
            <w:vAlign w:val="bottom"/>
          </w:tcPr>
          <w:p w14:paraId="73DDCF9B"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w:t>
            </w:r>
          </w:p>
        </w:tc>
        <w:tc>
          <w:tcPr>
            <w:tcW w:w="454" w:type="pct"/>
            <w:shd w:val="clear" w:color="auto" w:fill="auto"/>
            <w:vAlign w:val="bottom"/>
          </w:tcPr>
          <w:p w14:paraId="1F726665"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w:t>
            </w:r>
          </w:p>
        </w:tc>
        <w:tc>
          <w:tcPr>
            <w:tcW w:w="453" w:type="pct"/>
            <w:shd w:val="clear" w:color="auto" w:fill="auto"/>
            <w:vAlign w:val="bottom"/>
          </w:tcPr>
          <w:p w14:paraId="02CEF88D" w14:textId="03A723A4"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4" w:type="pct"/>
            <w:shd w:val="clear" w:color="auto" w:fill="auto"/>
            <w:vAlign w:val="bottom"/>
          </w:tcPr>
          <w:p w14:paraId="5921F41D"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r>
      <w:tr w:rsidR="00202BBA" w:rsidRPr="00A53689" w14:paraId="7FF5F0C0" w14:textId="77777777" w:rsidTr="00202BBA">
        <w:tc>
          <w:tcPr>
            <w:tcW w:w="3186" w:type="pct"/>
            <w:shd w:val="clear" w:color="auto" w:fill="auto"/>
            <w:vAlign w:val="bottom"/>
          </w:tcPr>
          <w:p w14:paraId="1AFF9699" w14:textId="77777777" w:rsidR="00202BBA" w:rsidRPr="00A53689" w:rsidRDefault="00202BBA" w:rsidP="00202B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3" w:hanging="587"/>
              <w:jc w:val="left"/>
              <w:rPr>
                <w:rFonts w:asciiTheme="majorBidi" w:hAnsiTheme="majorBidi" w:cstheme="majorBidi"/>
                <w:sz w:val="17"/>
              </w:rPr>
            </w:pPr>
            <w:r w:rsidRPr="00A53689">
              <w:rPr>
                <w:rFonts w:asciiTheme="majorBidi" w:hAnsiTheme="majorBidi" w:cstheme="majorBidi"/>
                <w:sz w:val="17"/>
              </w:rPr>
              <w:tab/>
              <w:t>2.</w:t>
            </w:r>
            <w:r w:rsidRPr="00A53689">
              <w:rPr>
                <w:rFonts w:asciiTheme="majorBidi" w:hAnsiTheme="majorBidi" w:cstheme="majorBidi"/>
                <w:sz w:val="17"/>
              </w:rPr>
              <w:tab/>
            </w:r>
            <w:r w:rsidRPr="00A53689">
              <w:rPr>
                <w:rFonts w:asciiTheme="majorBidi" w:hAnsiTheme="majorBidi" w:cstheme="majorBidi"/>
                <w:sz w:val="17"/>
                <w:lang w:val="en-GB"/>
              </w:rPr>
              <w:t>Implementation of the outcome of the United Nations Conference on Housing and Sustainable Urban Development (Habitat III) and strengthening of the United Nations Human Settlements Programme (UN</w:t>
            </w:r>
            <w:r w:rsidRPr="00A53689">
              <w:rPr>
                <w:rFonts w:asciiTheme="majorBidi" w:hAnsiTheme="majorBidi" w:cstheme="majorBidi"/>
                <w:sz w:val="17"/>
                <w:lang w:val="en-GB"/>
              </w:rPr>
              <w:noBreakHyphen/>
              <w:t>Habitat): report of the Secretary-General</w:t>
            </w:r>
          </w:p>
        </w:tc>
        <w:tc>
          <w:tcPr>
            <w:tcW w:w="453" w:type="pct"/>
            <w:shd w:val="clear" w:color="auto" w:fill="auto"/>
            <w:vAlign w:val="bottom"/>
          </w:tcPr>
          <w:p w14:paraId="5A412F77" w14:textId="77777777" w:rsidR="00202BBA" w:rsidRPr="00A53689" w:rsidRDefault="00202BBA" w:rsidP="00202B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rFonts w:asciiTheme="majorBidi" w:hAnsiTheme="majorBidi" w:cstheme="majorBidi"/>
                <w:sz w:val="17"/>
              </w:rPr>
            </w:pPr>
            <w:r w:rsidRPr="00A53689">
              <w:rPr>
                <w:rFonts w:asciiTheme="majorBidi" w:hAnsiTheme="majorBidi" w:cstheme="majorBidi"/>
                <w:sz w:val="17"/>
              </w:rPr>
              <w:t>–</w:t>
            </w:r>
          </w:p>
        </w:tc>
        <w:tc>
          <w:tcPr>
            <w:tcW w:w="454" w:type="pct"/>
            <w:shd w:val="clear" w:color="auto" w:fill="auto"/>
            <w:vAlign w:val="bottom"/>
          </w:tcPr>
          <w:p w14:paraId="11C6D7CD" w14:textId="77777777" w:rsidR="00202BBA" w:rsidRPr="00A53689" w:rsidRDefault="00202BBA" w:rsidP="00202B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rFonts w:asciiTheme="majorBidi" w:hAnsiTheme="majorBidi" w:cstheme="majorBidi"/>
                <w:sz w:val="17"/>
              </w:rPr>
            </w:pPr>
            <w:r w:rsidRPr="00A53689">
              <w:rPr>
                <w:rFonts w:asciiTheme="majorBidi" w:hAnsiTheme="majorBidi" w:cstheme="majorBidi"/>
                <w:sz w:val="17"/>
              </w:rPr>
              <w:t>–</w:t>
            </w:r>
          </w:p>
        </w:tc>
        <w:tc>
          <w:tcPr>
            <w:tcW w:w="453" w:type="pct"/>
            <w:shd w:val="clear" w:color="auto" w:fill="auto"/>
            <w:vAlign w:val="bottom"/>
          </w:tcPr>
          <w:p w14:paraId="145198B6" w14:textId="01CF3061" w:rsidR="00202BBA" w:rsidRPr="00A53689" w:rsidRDefault="00202BBA" w:rsidP="00202B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rFonts w:asciiTheme="majorBidi" w:hAnsiTheme="majorBidi" w:cstheme="majorBidi"/>
                <w:sz w:val="17"/>
              </w:rPr>
            </w:pPr>
            <w:r w:rsidRPr="00A53689">
              <w:rPr>
                <w:rFonts w:asciiTheme="majorBidi" w:hAnsiTheme="majorBidi" w:cstheme="majorBidi"/>
                <w:sz w:val="17"/>
              </w:rPr>
              <w:t>1</w:t>
            </w:r>
          </w:p>
        </w:tc>
        <w:tc>
          <w:tcPr>
            <w:tcW w:w="454" w:type="pct"/>
            <w:shd w:val="clear" w:color="auto" w:fill="auto"/>
            <w:vAlign w:val="bottom"/>
          </w:tcPr>
          <w:p w14:paraId="195C2B4D" w14:textId="77777777" w:rsidR="00202BBA" w:rsidRPr="00A53689" w:rsidRDefault="00202BBA" w:rsidP="00202BBA">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3"/>
              <w:jc w:val="right"/>
              <w:rPr>
                <w:rFonts w:asciiTheme="majorBidi" w:hAnsiTheme="majorBidi" w:cstheme="majorBidi"/>
                <w:sz w:val="17"/>
              </w:rPr>
            </w:pPr>
            <w:r w:rsidRPr="00A53689">
              <w:rPr>
                <w:rFonts w:asciiTheme="majorBidi" w:hAnsiTheme="majorBidi" w:cstheme="majorBidi"/>
                <w:sz w:val="17"/>
              </w:rPr>
              <w:t>1</w:t>
            </w:r>
          </w:p>
        </w:tc>
      </w:tr>
      <w:tr w:rsidR="00202BBA" w:rsidRPr="00A53689" w14:paraId="6B4D2092" w14:textId="77777777" w:rsidTr="00202BBA">
        <w:tc>
          <w:tcPr>
            <w:tcW w:w="3186" w:type="pct"/>
            <w:shd w:val="clear" w:color="auto" w:fill="auto"/>
            <w:vAlign w:val="bottom"/>
          </w:tcPr>
          <w:p w14:paraId="1921F668"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rFonts w:asciiTheme="majorBidi" w:hAnsiTheme="majorBidi" w:cstheme="majorBidi"/>
                <w:b/>
                <w:bCs/>
                <w:sz w:val="17"/>
              </w:rPr>
            </w:pPr>
            <w:r w:rsidRPr="00A53689">
              <w:rPr>
                <w:rFonts w:asciiTheme="majorBidi" w:hAnsiTheme="majorBidi" w:cstheme="majorBidi"/>
                <w:b/>
                <w:bCs/>
                <w:sz w:val="17"/>
              </w:rPr>
              <w:tab/>
              <w:t xml:space="preserve">Substantive services for meetings </w:t>
            </w:r>
            <w:r w:rsidRPr="00A53689">
              <w:rPr>
                <w:rFonts w:asciiTheme="majorBidi" w:hAnsiTheme="majorBidi" w:cstheme="majorBidi"/>
                <w:bCs/>
                <w:sz w:val="17"/>
              </w:rPr>
              <w:t>(number of three-hour meetings)</w:t>
            </w:r>
          </w:p>
        </w:tc>
        <w:tc>
          <w:tcPr>
            <w:tcW w:w="453" w:type="pct"/>
            <w:shd w:val="clear" w:color="auto" w:fill="auto"/>
            <w:vAlign w:val="bottom"/>
          </w:tcPr>
          <w:p w14:paraId="46F6A29D" w14:textId="0205C8DB"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6</w:t>
            </w:r>
          </w:p>
        </w:tc>
        <w:tc>
          <w:tcPr>
            <w:tcW w:w="454" w:type="pct"/>
            <w:shd w:val="clear" w:color="auto" w:fill="auto"/>
            <w:vAlign w:val="bottom"/>
          </w:tcPr>
          <w:p w14:paraId="7EC928AA" w14:textId="4F5C65E2"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12</w:t>
            </w:r>
          </w:p>
        </w:tc>
        <w:tc>
          <w:tcPr>
            <w:tcW w:w="453" w:type="pct"/>
            <w:shd w:val="clear" w:color="auto" w:fill="auto"/>
            <w:vAlign w:val="bottom"/>
          </w:tcPr>
          <w:p w14:paraId="0629F47A" w14:textId="26BD7096"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7</w:t>
            </w:r>
          </w:p>
        </w:tc>
        <w:tc>
          <w:tcPr>
            <w:tcW w:w="454" w:type="pct"/>
            <w:shd w:val="clear" w:color="auto" w:fill="auto"/>
            <w:vAlign w:val="bottom"/>
          </w:tcPr>
          <w:p w14:paraId="1294A365" w14:textId="41197493" w:rsidR="00202BBA" w:rsidRPr="00A53689" w:rsidRDefault="005F2D17"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Pr>
                <w:rFonts w:asciiTheme="majorBidi" w:hAnsiTheme="majorBidi" w:cstheme="majorBidi"/>
                <w:b/>
                <w:bCs/>
                <w:sz w:val="17"/>
              </w:rPr>
              <w:t>1</w:t>
            </w:r>
            <w:r w:rsidR="00202BBA" w:rsidRPr="00A53689">
              <w:rPr>
                <w:rFonts w:asciiTheme="majorBidi" w:hAnsiTheme="majorBidi" w:cstheme="majorBidi"/>
                <w:b/>
                <w:bCs/>
                <w:sz w:val="17"/>
              </w:rPr>
              <w:t>7</w:t>
            </w:r>
          </w:p>
        </w:tc>
      </w:tr>
      <w:tr w:rsidR="00202BBA" w:rsidRPr="00A53689" w14:paraId="690280D1" w14:textId="77777777" w:rsidTr="00202BBA">
        <w:tc>
          <w:tcPr>
            <w:tcW w:w="3186" w:type="pct"/>
            <w:shd w:val="clear" w:color="auto" w:fill="auto"/>
          </w:tcPr>
          <w:p w14:paraId="08E77ACD"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0" w:hanging="587"/>
              <w:jc w:val="left"/>
              <w:rPr>
                <w:sz w:val="17"/>
              </w:rPr>
            </w:pPr>
            <w:r w:rsidRPr="00A53689">
              <w:rPr>
                <w:sz w:val="17"/>
              </w:rPr>
              <w:tab/>
              <w:t>3.</w:t>
            </w:r>
            <w:r w:rsidRPr="00A53689">
              <w:rPr>
                <w:sz w:val="17"/>
              </w:rPr>
              <w:tab/>
            </w:r>
            <w:r w:rsidRPr="00A53689">
              <w:rPr>
                <w:sz w:val="17"/>
                <w:lang w:val="en-GB"/>
              </w:rPr>
              <w:t>Meetings of the governing bodies (UN-Habitat Assembly, Executive Board and Committee of Permanent Representatives)</w:t>
            </w:r>
          </w:p>
        </w:tc>
        <w:tc>
          <w:tcPr>
            <w:tcW w:w="453" w:type="pct"/>
            <w:shd w:val="clear" w:color="auto" w:fill="auto"/>
            <w:vAlign w:val="bottom"/>
          </w:tcPr>
          <w:p w14:paraId="335EC465" w14:textId="750FA788"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3</w:t>
            </w:r>
          </w:p>
        </w:tc>
        <w:tc>
          <w:tcPr>
            <w:tcW w:w="454" w:type="pct"/>
            <w:shd w:val="clear" w:color="auto" w:fill="auto"/>
            <w:vAlign w:val="bottom"/>
          </w:tcPr>
          <w:p w14:paraId="55A119D3" w14:textId="749B0E54"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9</w:t>
            </w:r>
          </w:p>
        </w:tc>
        <w:tc>
          <w:tcPr>
            <w:tcW w:w="453" w:type="pct"/>
            <w:shd w:val="clear" w:color="auto" w:fill="auto"/>
            <w:vAlign w:val="bottom"/>
          </w:tcPr>
          <w:p w14:paraId="2068AA44" w14:textId="7B81AB84"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4</w:t>
            </w:r>
          </w:p>
        </w:tc>
        <w:tc>
          <w:tcPr>
            <w:tcW w:w="454" w:type="pct"/>
            <w:shd w:val="clear" w:color="auto" w:fill="auto"/>
            <w:vAlign w:val="bottom"/>
          </w:tcPr>
          <w:p w14:paraId="6A58BAC8" w14:textId="1C0D430A"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12</w:t>
            </w:r>
          </w:p>
        </w:tc>
      </w:tr>
      <w:tr w:rsidR="00202BBA" w:rsidRPr="00A53689" w14:paraId="0554C309" w14:textId="77777777" w:rsidTr="00202BBA">
        <w:tc>
          <w:tcPr>
            <w:tcW w:w="3186" w:type="pct"/>
            <w:shd w:val="clear" w:color="auto" w:fill="auto"/>
          </w:tcPr>
          <w:p w14:paraId="2014BCED"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0" w:hanging="587"/>
              <w:jc w:val="left"/>
              <w:rPr>
                <w:sz w:val="17"/>
              </w:rPr>
            </w:pPr>
            <w:bookmarkStart w:id="4" w:name="_Hlk35527839"/>
            <w:r w:rsidRPr="00A53689">
              <w:rPr>
                <w:sz w:val="17"/>
              </w:rPr>
              <w:tab/>
              <w:t>4.</w:t>
            </w:r>
            <w:r w:rsidRPr="00A53689">
              <w:rPr>
                <w:sz w:val="17"/>
              </w:rPr>
              <w:tab/>
            </w:r>
            <w:r w:rsidRPr="00A53689">
              <w:rPr>
                <w:sz w:val="17"/>
                <w:lang w:val="en-GB"/>
              </w:rPr>
              <w:t xml:space="preserve">Meeting of the Committee for Programme and Coordination </w:t>
            </w:r>
          </w:p>
        </w:tc>
        <w:tc>
          <w:tcPr>
            <w:tcW w:w="453" w:type="pct"/>
            <w:shd w:val="clear" w:color="auto" w:fill="auto"/>
            <w:vAlign w:val="bottom"/>
          </w:tcPr>
          <w:p w14:paraId="56A09242"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4" w:type="pct"/>
            <w:shd w:val="clear" w:color="auto" w:fill="auto"/>
            <w:vAlign w:val="bottom"/>
          </w:tcPr>
          <w:p w14:paraId="6917D6B9"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3" w:type="pct"/>
            <w:shd w:val="clear" w:color="auto" w:fill="auto"/>
            <w:vAlign w:val="bottom"/>
          </w:tcPr>
          <w:p w14:paraId="529574DC"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4" w:type="pct"/>
            <w:shd w:val="clear" w:color="auto" w:fill="auto"/>
            <w:vAlign w:val="bottom"/>
          </w:tcPr>
          <w:p w14:paraId="4AB10D37"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r>
      <w:tr w:rsidR="00202BBA" w:rsidRPr="00A53689" w14:paraId="78F5F055" w14:textId="77777777" w:rsidTr="00202BBA">
        <w:tc>
          <w:tcPr>
            <w:tcW w:w="3186" w:type="pct"/>
            <w:shd w:val="clear" w:color="auto" w:fill="auto"/>
          </w:tcPr>
          <w:p w14:paraId="1FCAF1C2"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0" w:hanging="587"/>
              <w:jc w:val="left"/>
              <w:rPr>
                <w:sz w:val="17"/>
              </w:rPr>
            </w:pPr>
            <w:r w:rsidRPr="00A53689">
              <w:rPr>
                <w:sz w:val="17"/>
              </w:rPr>
              <w:tab/>
              <w:t>5.</w:t>
            </w:r>
            <w:r w:rsidRPr="00A53689">
              <w:rPr>
                <w:sz w:val="17"/>
              </w:rPr>
              <w:tab/>
            </w:r>
            <w:r w:rsidRPr="00A53689">
              <w:rPr>
                <w:sz w:val="17"/>
                <w:lang w:val="en-GB"/>
              </w:rPr>
              <w:t>Meeting of the Advisory Committee on Administrative and Budgetary Questions</w:t>
            </w:r>
          </w:p>
        </w:tc>
        <w:tc>
          <w:tcPr>
            <w:tcW w:w="453" w:type="pct"/>
            <w:shd w:val="clear" w:color="auto" w:fill="auto"/>
            <w:vAlign w:val="bottom"/>
          </w:tcPr>
          <w:p w14:paraId="47A96FE0"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4" w:type="pct"/>
            <w:shd w:val="clear" w:color="auto" w:fill="auto"/>
            <w:vAlign w:val="bottom"/>
          </w:tcPr>
          <w:p w14:paraId="4A35BA64"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3" w:type="pct"/>
            <w:shd w:val="clear" w:color="auto" w:fill="auto"/>
            <w:vAlign w:val="bottom"/>
          </w:tcPr>
          <w:p w14:paraId="0A3C7C40"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4" w:type="pct"/>
            <w:shd w:val="clear" w:color="auto" w:fill="auto"/>
            <w:vAlign w:val="bottom"/>
          </w:tcPr>
          <w:p w14:paraId="4D7768A2"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r>
      <w:tr w:rsidR="00202BBA" w:rsidRPr="00A53689" w14:paraId="43202149" w14:textId="77777777" w:rsidTr="00202BBA">
        <w:tc>
          <w:tcPr>
            <w:tcW w:w="3186" w:type="pct"/>
            <w:shd w:val="clear" w:color="auto" w:fill="auto"/>
          </w:tcPr>
          <w:p w14:paraId="0E11D2C9"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0" w:hanging="587"/>
              <w:jc w:val="left"/>
              <w:rPr>
                <w:sz w:val="17"/>
              </w:rPr>
            </w:pPr>
            <w:r w:rsidRPr="00A53689">
              <w:rPr>
                <w:sz w:val="17"/>
              </w:rPr>
              <w:tab/>
              <w:t>6.</w:t>
            </w:r>
            <w:r w:rsidRPr="00A53689">
              <w:rPr>
                <w:sz w:val="17"/>
              </w:rPr>
              <w:tab/>
            </w:r>
            <w:r w:rsidRPr="00A53689">
              <w:rPr>
                <w:sz w:val="17"/>
                <w:lang w:val="en-GB"/>
              </w:rPr>
              <w:t>Meeting of the Fifth Committee</w:t>
            </w:r>
          </w:p>
        </w:tc>
        <w:tc>
          <w:tcPr>
            <w:tcW w:w="453" w:type="pct"/>
            <w:shd w:val="clear" w:color="auto" w:fill="auto"/>
            <w:vAlign w:val="bottom"/>
          </w:tcPr>
          <w:p w14:paraId="5CD01DB1"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4" w:type="pct"/>
            <w:shd w:val="clear" w:color="auto" w:fill="auto"/>
            <w:vAlign w:val="bottom"/>
          </w:tcPr>
          <w:p w14:paraId="371003BD"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3" w:type="pct"/>
            <w:shd w:val="clear" w:color="auto" w:fill="auto"/>
            <w:vAlign w:val="bottom"/>
          </w:tcPr>
          <w:p w14:paraId="7C6C4DD6"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4" w:type="pct"/>
            <w:shd w:val="clear" w:color="auto" w:fill="auto"/>
            <w:vAlign w:val="bottom"/>
          </w:tcPr>
          <w:p w14:paraId="61F30553"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r>
      <w:tr w:rsidR="00202BBA" w:rsidRPr="00A53689" w14:paraId="5481C8FF" w14:textId="77777777" w:rsidTr="00202BBA">
        <w:tc>
          <w:tcPr>
            <w:tcW w:w="3186" w:type="pct"/>
            <w:shd w:val="clear" w:color="auto" w:fill="auto"/>
          </w:tcPr>
          <w:p w14:paraId="18A1B475" w14:textId="5CF053A8"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0" w:hanging="587"/>
              <w:jc w:val="left"/>
              <w:rPr>
                <w:sz w:val="17"/>
              </w:rPr>
            </w:pPr>
            <w:r w:rsidRPr="00A53689">
              <w:rPr>
                <w:sz w:val="17"/>
              </w:rPr>
              <w:tab/>
              <w:t>7.</w:t>
            </w:r>
            <w:r w:rsidRPr="00A53689">
              <w:rPr>
                <w:sz w:val="17"/>
              </w:rPr>
              <w:tab/>
            </w:r>
            <w:r w:rsidRPr="00A53689">
              <w:rPr>
                <w:sz w:val="17"/>
                <w:lang w:val="en-GB"/>
              </w:rPr>
              <w:t>General Assembly high-level meeting on the review of the implementation of the New Urban Agenda</w:t>
            </w:r>
          </w:p>
        </w:tc>
        <w:tc>
          <w:tcPr>
            <w:tcW w:w="453" w:type="pct"/>
            <w:shd w:val="clear" w:color="auto" w:fill="auto"/>
            <w:vAlign w:val="bottom"/>
          </w:tcPr>
          <w:p w14:paraId="0E94B5A3" w14:textId="0C74A73B"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w:t>
            </w:r>
          </w:p>
        </w:tc>
        <w:tc>
          <w:tcPr>
            <w:tcW w:w="454" w:type="pct"/>
            <w:shd w:val="clear" w:color="auto" w:fill="auto"/>
            <w:vAlign w:val="bottom"/>
          </w:tcPr>
          <w:p w14:paraId="7A08EC7A" w14:textId="7240444B"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w:t>
            </w:r>
          </w:p>
        </w:tc>
        <w:tc>
          <w:tcPr>
            <w:tcW w:w="453" w:type="pct"/>
            <w:shd w:val="clear" w:color="auto" w:fill="auto"/>
            <w:vAlign w:val="bottom"/>
          </w:tcPr>
          <w:p w14:paraId="4365025A" w14:textId="2688E47D"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w:t>
            </w:r>
          </w:p>
        </w:tc>
        <w:tc>
          <w:tcPr>
            <w:tcW w:w="454" w:type="pct"/>
            <w:shd w:val="clear" w:color="auto" w:fill="auto"/>
            <w:vAlign w:val="bottom"/>
          </w:tcPr>
          <w:p w14:paraId="1517FE41" w14:textId="6CB250F8"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2</w:t>
            </w:r>
          </w:p>
        </w:tc>
      </w:tr>
      <w:bookmarkEnd w:id="4"/>
      <w:tr w:rsidR="00202BBA" w:rsidRPr="00A53689" w14:paraId="20ABF7E6" w14:textId="77777777" w:rsidTr="00202BBA">
        <w:tc>
          <w:tcPr>
            <w:tcW w:w="3186" w:type="pct"/>
            <w:shd w:val="clear" w:color="auto" w:fill="auto"/>
            <w:vAlign w:val="bottom"/>
          </w:tcPr>
          <w:p w14:paraId="42A9C915"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rFonts w:asciiTheme="majorBidi" w:hAnsiTheme="majorBidi" w:cstheme="majorBidi"/>
                <w:b/>
                <w:bCs/>
                <w:sz w:val="17"/>
              </w:rPr>
            </w:pPr>
            <w:r w:rsidRPr="00A53689">
              <w:rPr>
                <w:rFonts w:asciiTheme="majorBidi" w:hAnsiTheme="majorBidi" w:cstheme="majorBidi"/>
                <w:b/>
                <w:bCs/>
                <w:sz w:val="17"/>
              </w:rPr>
              <w:t>B.</w:t>
            </w:r>
            <w:r w:rsidRPr="00A53689">
              <w:rPr>
                <w:rFonts w:asciiTheme="majorBidi" w:hAnsiTheme="majorBidi" w:cstheme="majorBidi"/>
                <w:b/>
                <w:bCs/>
                <w:sz w:val="17"/>
              </w:rPr>
              <w:tab/>
              <w:t>Generation and transfer of knowledge</w:t>
            </w:r>
          </w:p>
        </w:tc>
        <w:tc>
          <w:tcPr>
            <w:tcW w:w="453" w:type="pct"/>
            <w:shd w:val="clear" w:color="auto" w:fill="auto"/>
            <w:vAlign w:val="bottom"/>
          </w:tcPr>
          <w:p w14:paraId="06940320"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p>
        </w:tc>
        <w:tc>
          <w:tcPr>
            <w:tcW w:w="454" w:type="pct"/>
            <w:shd w:val="clear" w:color="auto" w:fill="auto"/>
            <w:vAlign w:val="bottom"/>
          </w:tcPr>
          <w:p w14:paraId="77488397"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p>
        </w:tc>
        <w:tc>
          <w:tcPr>
            <w:tcW w:w="453" w:type="pct"/>
            <w:shd w:val="clear" w:color="auto" w:fill="auto"/>
            <w:vAlign w:val="bottom"/>
          </w:tcPr>
          <w:p w14:paraId="33ED3510"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p>
        </w:tc>
        <w:tc>
          <w:tcPr>
            <w:tcW w:w="454" w:type="pct"/>
            <w:shd w:val="clear" w:color="auto" w:fill="auto"/>
            <w:vAlign w:val="bottom"/>
          </w:tcPr>
          <w:p w14:paraId="2E196E5F"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p>
        </w:tc>
      </w:tr>
      <w:tr w:rsidR="00202BBA" w:rsidRPr="00A53689" w14:paraId="3D19DDE0" w14:textId="77777777" w:rsidTr="00202BBA">
        <w:tc>
          <w:tcPr>
            <w:tcW w:w="3186" w:type="pct"/>
            <w:shd w:val="clear" w:color="auto" w:fill="auto"/>
            <w:vAlign w:val="bottom"/>
          </w:tcPr>
          <w:p w14:paraId="0051EDAD" w14:textId="77777777"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1152"/>
              </w:tabs>
              <w:spacing w:before="40" w:after="40" w:line="210" w:lineRule="exact"/>
              <w:ind w:left="587" w:right="40" w:hanging="587"/>
              <w:jc w:val="left"/>
              <w:rPr>
                <w:rFonts w:asciiTheme="majorBidi" w:hAnsiTheme="majorBidi" w:cstheme="majorBidi"/>
                <w:b/>
                <w:bCs/>
                <w:sz w:val="17"/>
              </w:rPr>
            </w:pPr>
            <w:r w:rsidRPr="00A53689">
              <w:rPr>
                <w:rFonts w:asciiTheme="majorBidi" w:hAnsiTheme="majorBidi" w:cstheme="majorBidi"/>
                <w:b/>
                <w:bCs/>
                <w:sz w:val="17"/>
              </w:rPr>
              <w:tab/>
              <w:t xml:space="preserve">Publications </w:t>
            </w:r>
            <w:r w:rsidRPr="00A53689">
              <w:rPr>
                <w:rFonts w:asciiTheme="majorBidi" w:hAnsiTheme="majorBidi" w:cstheme="majorBidi"/>
                <w:sz w:val="17"/>
              </w:rPr>
              <w:t>(number of publications)</w:t>
            </w:r>
          </w:p>
        </w:tc>
        <w:tc>
          <w:tcPr>
            <w:tcW w:w="453" w:type="pct"/>
            <w:shd w:val="clear" w:color="auto" w:fill="auto"/>
            <w:vAlign w:val="bottom"/>
          </w:tcPr>
          <w:p w14:paraId="6217C563" w14:textId="327E580D"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5</w:t>
            </w:r>
          </w:p>
        </w:tc>
        <w:tc>
          <w:tcPr>
            <w:tcW w:w="454" w:type="pct"/>
            <w:shd w:val="clear" w:color="auto" w:fill="auto"/>
            <w:vAlign w:val="bottom"/>
          </w:tcPr>
          <w:p w14:paraId="44FC4201" w14:textId="3404AC10"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2</w:t>
            </w:r>
          </w:p>
        </w:tc>
        <w:tc>
          <w:tcPr>
            <w:tcW w:w="453" w:type="pct"/>
            <w:shd w:val="clear" w:color="auto" w:fill="auto"/>
            <w:vAlign w:val="bottom"/>
          </w:tcPr>
          <w:p w14:paraId="1C7CFCD4" w14:textId="3249A446"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6</w:t>
            </w:r>
          </w:p>
        </w:tc>
        <w:tc>
          <w:tcPr>
            <w:tcW w:w="454" w:type="pct"/>
            <w:shd w:val="clear" w:color="auto" w:fill="auto"/>
            <w:vAlign w:val="bottom"/>
          </w:tcPr>
          <w:p w14:paraId="01FC0A0A" w14:textId="4E2FEFB0"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b/>
                <w:bCs/>
                <w:sz w:val="17"/>
              </w:rPr>
            </w:pPr>
            <w:r w:rsidRPr="00A53689">
              <w:rPr>
                <w:rFonts w:asciiTheme="majorBidi" w:hAnsiTheme="majorBidi" w:cstheme="majorBidi"/>
                <w:b/>
                <w:bCs/>
                <w:sz w:val="17"/>
              </w:rPr>
              <w:t>5</w:t>
            </w:r>
          </w:p>
        </w:tc>
      </w:tr>
      <w:tr w:rsidR="00202BBA" w:rsidRPr="00A53689" w14:paraId="5B69B07B" w14:textId="77777777" w:rsidTr="00202BBA">
        <w:tc>
          <w:tcPr>
            <w:tcW w:w="3186" w:type="pct"/>
            <w:shd w:val="clear" w:color="auto" w:fill="auto"/>
            <w:vAlign w:val="bottom"/>
          </w:tcPr>
          <w:p w14:paraId="2461B5B8" w14:textId="65DB9E99"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0" w:hanging="587"/>
              <w:jc w:val="left"/>
              <w:rPr>
                <w:rFonts w:asciiTheme="majorBidi" w:hAnsiTheme="majorBidi" w:cstheme="majorBidi"/>
                <w:sz w:val="17"/>
              </w:rPr>
            </w:pPr>
            <w:r w:rsidRPr="00A53689">
              <w:rPr>
                <w:rFonts w:asciiTheme="majorBidi" w:hAnsiTheme="majorBidi" w:cstheme="majorBidi"/>
                <w:sz w:val="17"/>
              </w:rPr>
              <w:tab/>
            </w:r>
            <w:r w:rsidR="000065AA" w:rsidRPr="00A53689">
              <w:rPr>
                <w:rFonts w:asciiTheme="majorBidi" w:hAnsiTheme="majorBidi" w:cstheme="majorBidi"/>
                <w:sz w:val="17"/>
              </w:rPr>
              <w:t>8</w:t>
            </w:r>
            <w:r w:rsidRPr="00A53689">
              <w:rPr>
                <w:rFonts w:asciiTheme="majorBidi" w:hAnsiTheme="majorBidi" w:cstheme="majorBidi"/>
                <w:sz w:val="17"/>
              </w:rPr>
              <w:t>.</w:t>
            </w:r>
            <w:r w:rsidRPr="00A53689">
              <w:rPr>
                <w:rFonts w:asciiTheme="majorBidi" w:hAnsiTheme="majorBidi" w:cstheme="majorBidi"/>
                <w:sz w:val="17"/>
              </w:rPr>
              <w:tab/>
            </w:r>
            <w:r w:rsidRPr="00A53689">
              <w:rPr>
                <w:rFonts w:asciiTheme="majorBidi" w:hAnsiTheme="majorBidi" w:cstheme="majorBidi"/>
                <w:sz w:val="17"/>
                <w:lang w:val="en-GB"/>
              </w:rPr>
              <w:t>UN-Habitat flagship reports</w:t>
            </w:r>
          </w:p>
        </w:tc>
        <w:tc>
          <w:tcPr>
            <w:tcW w:w="453" w:type="pct"/>
            <w:shd w:val="clear" w:color="auto" w:fill="auto"/>
            <w:vAlign w:val="bottom"/>
          </w:tcPr>
          <w:p w14:paraId="53850811" w14:textId="7F944D6A"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4</w:t>
            </w:r>
          </w:p>
        </w:tc>
        <w:tc>
          <w:tcPr>
            <w:tcW w:w="454" w:type="pct"/>
            <w:shd w:val="clear" w:color="auto" w:fill="auto"/>
            <w:vAlign w:val="bottom"/>
          </w:tcPr>
          <w:p w14:paraId="3193652B" w14:textId="776ACC7F"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3" w:type="pct"/>
            <w:shd w:val="clear" w:color="auto" w:fill="auto"/>
            <w:vAlign w:val="bottom"/>
          </w:tcPr>
          <w:p w14:paraId="7E9CF929" w14:textId="5734210B"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5</w:t>
            </w:r>
          </w:p>
        </w:tc>
        <w:tc>
          <w:tcPr>
            <w:tcW w:w="454" w:type="pct"/>
            <w:shd w:val="clear" w:color="auto" w:fill="auto"/>
            <w:vAlign w:val="bottom"/>
          </w:tcPr>
          <w:p w14:paraId="670F923A" w14:textId="05E4750C"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2</w:t>
            </w:r>
          </w:p>
        </w:tc>
      </w:tr>
      <w:tr w:rsidR="00202BBA" w:rsidRPr="00A53689" w14:paraId="4116709D" w14:textId="77777777" w:rsidTr="00202BBA">
        <w:tc>
          <w:tcPr>
            <w:tcW w:w="3186" w:type="pct"/>
            <w:shd w:val="clear" w:color="auto" w:fill="auto"/>
            <w:vAlign w:val="bottom"/>
          </w:tcPr>
          <w:p w14:paraId="00A450BB" w14:textId="55F596A9" w:rsidR="00202BBA" w:rsidRPr="00A53689" w:rsidRDefault="00202BB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0" w:hanging="587"/>
              <w:jc w:val="left"/>
              <w:rPr>
                <w:rFonts w:asciiTheme="majorBidi" w:hAnsiTheme="majorBidi" w:cstheme="majorBidi"/>
                <w:sz w:val="17"/>
              </w:rPr>
            </w:pPr>
            <w:r w:rsidRPr="00A53689">
              <w:rPr>
                <w:rFonts w:asciiTheme="majorBidi" w:hAnsiTheme="majorBidi" w:cstheme="majorBidi"/>
                <w:sz w:val="17"/>
              </w:rPr>
              <w:tab/>
            </w:r>
            <w:r w:rsidR="000065AA" w:rsidRPr="00A53689">
              <w:rPr>
                <w:rFonts w:asciiTheme="majorBidi" w:hAnsiTheme="majorBidi" w:cstheme="majorBidi"/>
                <w:sz w:val="17"/>
              </w:rPr>
              <w:t>9</w:t>
            </w:r>
            <w:r w:rsidRPr="00A53689">
              <w:rPr>
                <w:rFonts w:asciiTheme="majorBidi" w:hAnsiTheme="majorBidi" w:cstheme="majorBidi"/>
                <w:sz w:val="17"/>
              </w:rPr>
              <w:t>.</w:t>
            </w:r>
            <w:r w:rsidRPr="00A53689">
              <w:rPr>
                <w:rFonts w:asciiTheme="majorBidi" w:hAnsiTheme="majorBidi" w:cstheme="majorBidi"/>
                <w:sz w:val="17"/>
              </w:rPr>
              <w:tab/>
            </w:r>
            <w:r w:rsidR="000065AA" w:rsidRPr="00A53689">
              <w:rPr>
                <w:rFonts w:asciiTheme="majorBidi" w:hAnsiTheme="majorBidi" w:cstheme="majorBidi"/>
                <w:i/>
                <w:iCs/>
                <w:sz w:val="17"/>
                <w:lang w:val="en-GB"/>
              </w:rPr>
              <w:t>World Cities Report</w:t>
            </w:r>
          </w:p>
        </w:tc>
        <w:tc>
          <w:tcPr>
            <w:tcW w:w="453" w:type="pct"/>
            <w:shd w:val="clear" w:color="auto" w:fill="auto"/>
            <w:vAlign w:val="bottom"/>
          </w:tcPr>
          <w:p w14:paraId="3AB9B494" w14:textId="33B79069"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4" w:type="pct"/>
            <w:shd w:val="clear" w:color="auto" w:fill="auto"/>
            <w:vAlign w:val="bottom"/>
          </w:tcPr>
          <w:p w14:paraId="015176C6" w14:textId="242BE550"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3" w:type="pct"/>
            <w:shd w:val="clear" w:color="auto" w:fill="auto"/>
            <w:vAlign w:val="bottom"/>
          </w:tcPr>
          <w:p w14:paraId="2D46432D" w14:textId="4308E762"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2</w:t>
            </w:r>
          </w:p>
        </w:tc>
        <w:tc>
          <w:tcPr>
            <w:tcW w:w="454" w:type="pct"/>
            <w:shd w:val="clear" w:color="auto" w:fill="auto"/>
            <w:vAlign w:val="bottom"/>
          </w:tcPr>
          <w:p w14:paraId="7B8BE67E" w14:textId="47A172B8" w:rsidR="00202BB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r>
      <w:tr w:rsidR="000065AA" w:rsidRPr="00A53689" w14:paraId="5DC05748" w14:textId="77777777" w:rsidTr="000065AA">
        <w:tc>
          <w:tcPr>
            <w:tcW w:w="3186" w:type="pct"/>
            <w:shd w:val="clear" w:color="auto" w:fill="auto"/>
            <w:vAlign w:val="bottom"/>
          </w:tcPr>
          <w:p w14:paraId="47510915" w14:textId="58949524" w:rsidR="000065A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0" w:hanging="587"/>
              <w:jc w:val="left"/>
              <w:rPr>
                <w:rFonts w:asciiTheme="majorBidi" w:hAnsiTheme="majorBidi" w:cstheme="majorBidi"/>
                <w:sz w:val="17"/>
              </w:rPr>
            </w:pPr>
            <w:r w:rsidRPr="00A53689">
              <w:rPr>
                <w:rFonts w:asciiTheme="majorBidi" w:hAnsiTheme="majorBidi" w:cstheme="majorBidi"/>
                <w:sz w:val="17"/>
              </w:rPr>
              <w:tab/>
              <w:t>10.</w:t>
            </w:r>
            <w:r w:rsidRPr="00A53689">
              <w:rPr>
                <w:rFonts w:asciiTheme="majorBidi" w:hAnsiTheme="majorBidi" w:cstheme="majorBidi"/>
                <w:sz w:val="17"/>
              </w:rPr>
              <w:tab/>
            </w:r>
            <w:r w:rsidRPr="00A53689">
              <w:rPr>
                <w:rFonts w:asciiTheme="majorBidi" w:hAnsiTheme="majorBidi" w:cstheme="majorBidi"/>
                <w:sz w:val="17"/>
                <w:lang w:val="en-GB"/>
              </w:rPr>
              <w:t>Second quadrennial report on the implementation of the New Urban Agenda</w:t>
            </w:r>
          </w:p>
        </w:tc>
        <w:tc>
          <w:tcPr>
            <w:tcW w:w="453" w:type="pct"/>
            <w:shd w:val="clear" w:color="auto" w:fill="auto"/>
            <w:vAlign w:val="bottom"/>
          </w:tcPr>
          <w:p w14:paraId="0AD634F6" w14:textId="35658983" w:rsidR="000065A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w:t>
            </w:r>
          </w:p>
        </w:tc>
        <w:tc>
          <w:tcPr>
            <w:tcW w:w="454" w:type="pct"/>
            <w:shd w:val="clear" w:color="auto" w:fill="auto"/>
            <w:vAlign w:val="bottom"/>
          </w:tcPr>
          <w:p w14:paraId="56BA7C09" w14:textId="13592BD4" w:rsidR="000065A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w:t>
            </w:r>
          </w:p>
        </w:tc>
        <w:tc>
          <w:tcPr>
            <w:tcW w:w="453" w:type="pct"/>
            <w:shd w:val="clear" w:color="auto" w:fill="auto"/>
            <w:vAlign w:val="bottom"/>
          </w:tcPr>
          <w:p w14:paraId="4B3547BA" w14:textId="28F145FD" w:rsidR="000065A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w:t>
            </w:r>
          </w:p>
        </w:tc>
        <w:tc>
          <w:tcPr>
            <w:tcW w:w="454" w:type="pct"/>
            <w:shd w:val="clear" w:color="auto" w:fill="auto"/>
            <w:vAlign w:val="bottom"/>
          </w:tcPr>
          <w:p w14:paraId="560D77F8" w14:textId="4B16D007" w:rsidR="000065A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r>
      <w:tr w:rsidR="000065AA" w:rsidRPr="00A53689" w14:paraId="67CE4BD1" w14:textId="77777777" w:rsidTr="000065AA">
        <w:tc>
          <w:tcPr>
            <w:tcW w:w="3186" w:type="pct"/>
            <w:tcBorders>
              <w:bottom w:val="single" w:sz="12" w:space="0" w:color="auto"/>
            </w:tcBorders>
            <w:shd w:val="clear" w:color="auto" w:fill="auto"/>
            <w:vAlign w:val="bottom"/>
          </w:tcPr>
          <w:p w14:paraId="5C84B9AC" w14:textId="2E511AD4" w:rsidR="000065A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87"/>
                <w:tab w:val="left" w:pos="1152"/>
              </w:tabs>
              <w:spacing w:before="40" w:after="40" w:line="210" w:lineRule="exact"/>
              <w:ind w:left="587" w:right="40" w:hanging="587"/>
              <w:jc w:val="left"/>
              <w:rPr>
                <w:rFonts w:asciiTheme="majorBidi" w:hAnsiTheme="majorBidi" w:cstheme="majorBidi"/>
                <w:sz w:val="17"/>
              </w:rPr>
            </w:pPr>
            <w:r w:rsidRPr="00A53689">
              <w:rPr>
                <w:rFonts w:asciiTheme="majorBidi" w:hAnsiTheme="majorBidi" w:cstheme="majorBidi"/>
                <w:sz w:val="17"/>
              </w:rPr>
              <w:tab/>
              <w:t>11.</w:t>
            </w:r>
            <w:r w:rsidRPr="00A53689">
              <w:rPr>
                <w:rFonts w:asciiTheme="majorBidi" w:hAnsiTheme="majorBidi" w:cstheme="majorBidi"/>
                <w:sz w:val="17"/>
              </w:rPr>
              <w:tab/>
            </w:r>
            <w:r w:rsidRPr="00A53689">
              <w:rPr>
                <w:rFonts w:asciiTheme="majorBidi" w:hAnsiTheme="majorBidi" w:cstheme="majorBidi"/>
                <w:sz w:val="17"/>
                <w:lang w:val="en-GB"/>
              </w:rPr>
              <w:t>UN-Habitat annual report</w:t>
            </w:r>
          </w:p>
        </w:tc>
        <w:tc>
          <w:tcPr>
            <w:tcW w:w="453" w:type="pct"/>
            <w:tcBorders>
              <w:bottom w:val="single" w:sz="12" w:space="0" w:color="auto"/>
            </w:tcBorders>
            <w:shd w:val="clear" w:color="auto" w:fill="auto"/>
            <w:vAlign w:val="bottom"/>
          </w:tcPr>
          <w:p w14:paraId="6AD3F038" w14:textId="2E4DA694" w:rsidR="000065A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4" w:type="pct"/>
            <w:tcBorders>
              <w:bottom w:val="single" w:sz="12" w:space="0" w:color="auto"/>
            </w:tcBorders>
            <w:shd w:val="clear" w:color="auto" w:fill="auto"/>
            <w:vAlign w:val="bottom"/>
          </w:tcPr>
          <w:p w14:paraId="5FB39465" w14:textId="73FC3F46" w:rsidR="000065A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3" w:type="pct"/>
            <w:tcBorders>
              <w:bottom w:val="single" w:sz="12" w:space="0" w:color="auto"/>
            </w:tcBorders>
            <w:shd w:val="clear" w:color="auto" w:fill="auto"/>
            <w:vAlign w:val="bottom"/>
          </w:tcPr>
          <w:p w14:paraId="0750D0DE" w14:textId="2F145385" w:rsidR="000065A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c>
          <w:tcPr>
            <w:tcW w:w="454" w:type="pct"/>
            <w:tcBorders>
              <w:bottom w:val="single" w:sz="12" w:space="0" w:color="auto"/>
            </w:tcBorders>
            <w:shd w:val="clear" w:color="auto" w:fill="auto"/>
            <w:vAlign w:val="bottom"/>
          </w:tcPr>
          <w:p w14:paraId="426996E3" w14:textId="39D4EF28" w:rsidR="000065AA" w:rsidRPr="00A53689" w:rsidRDefault="000065AA" w:rsidP="00202BB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rFonts w:asciiTheme="majorBidi" w:hAnsiTheme="majorBidi" w:cstheme="majorBidi"/>
                <w:sz w:val="17"/>
              </w:rPr>
            </w:pPr>
            <w:r w:rsidRPr="00A53689">
              <w:rPr>
                <w:rFonts w:asciiTheme="majorBidi" w:hAnsiTheme="majorBidi" w:cstheme="majorBidi"/>
                <w:sz w:val="17"/>
              </w:rPr>
              <w:t>1</w:t>
            </w:r>
          </w:p>
        </w:tc>
      </w:tr>
      <w:bookmarkEnd w:id="3"/>
    </w:tbl>
    <w:p w14:paraId="6CAC5ED9" w14:textId="2BBF8AF7" w:rsidR="000065AA" w:rsidRPr="00A53689" w:rsidRDefault="000065AA" w:rsidP="000065A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6BBD58E9" w14:textId="09C8C207" w:rsidR="00202BBA" w:rsidRPr="00A53689" w:rsidRDefault="000065AA" w:rsidP="000065AA">
      <w:pPr>
        <w:pStyle w:val="FootnoteText"/>
        <w:tabs>
          <w:tab w:val="clear" w:pos="418"/>
          <w:tab w:val="right" w:pos="216"/>
          <w:tab w:val="left" w:pos="288"/>
          <w:tab w:val="right" w:pos="576"/>
          <w:tab w:val="left" w:pos="648"/>
        </w:tabs>
        <w:ind w:left="288" w:hanging="288"/>
        <w:rPr>
          <w:lang w:val="en-US"/>
        </w:rPr>
      </w:pPr>
      <w:r w:rsidRPr="00A53689">
        <w:rPr>
          <w:lang w:val="en-US"/>
        </w:rPr>
        <w:tab/>
      </w:r>
      <w:r w:rsidR="005F2D17" w:rsidRPr="00A53689">
        <w:rPr>
          <w:i/>
          <w:iCs/>
          <w:vertAlign w:val="superscript"/>
          <w:lang w:val="en-US"/>
        </w:rPr>
        <w:t>a</w:t>
      </w:r>
      <w:r w:rsidR="005F2D17" w:rsidRPr="00A53689">
        <w:rPr>
          <w:lang w:val="en-US"/>
        </w:rPr>
        <w:tab/>
      </w:r>
      <w:r w:rsidRPr="00A53689">
        <w:rPr>
          <w:lang w:val="en-US"/>
        </w:rPr>
        <w:tab/>
      </w:r>
      <w:r w:rsidR="00202BBA" w:rsidRPr="00A53689">
        <w:rPr>
          <w:lang w:val="en-US"/>
        </w:rPr>
        <w:t>The 2022 planned deliverables, to be funded from the foundation non-earmarked fund, have been adjusted downward, taking into account the resources approved by the Executive Board of $10.0 million for 2021 and a budget ceiling figure of $12.0</w:t>
      </w:r>
      <w:r w:rsidR="0029701C">
        <w:rPr>
          <w:lang w:val="en-US"/>
        </w:rPr>
        <w:t> </w:t>
      </w:r>
      <w:r w:rsidRPr="00A53689">
        <w:rPr>
          <w:lang w:val="en-US"/>
        </w:rPr>
        <w:t>m</w:t>
      </w:r>
      <w:r w:rsidR="00202BBA" w:rsidRPr="00A53689">
        <w:rPr>
          <w:lang w:val="en-US"/>
        </w:rPr>
        <w:t>illion in 2022, as shown in table 15.14.</w:t>
      </w:r>
    </w:p>
    <w:p w14:paraId="5A08E1F2" w14:textId="31702740" w:rsidR="00202BBA" w:rsidRPr="00A53689" w:rsidRDefault="00202BBA"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369E7DD2" w14:textId="794DA446" w:rsidR="00006F7C" w:rsidRPr="00A53689" w:rsidRDefault="00006F7C"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32A3FA1B" w14:textId="57BEAE35" w:rsidR="00006F7C" w:rsidRPr="00A53689" w:rsidRDefault="00006F7C"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21D0F222" w14:textId="02A80088" w:rsidR="00202BBA" w:rsidRPr="00A53689" w:rsidRDefault="00202BBA" w:rsidP="00006F7C">
      <w:pPr>
        <w:pStyle w:val="H1"/>
        <w:ind w:right="1260"/>
        <w:rPr>
          <w:lang w:val="en-US"/>
        </w:rPr>
      </w:pPr>
      <w:r w:rsidRPr="00A53689">
        <w:rPr>
          <w:lang w:val="en-US"/>
        </w:rPr>
        <w:tab/>
      </w:r>
      <w:r w:rsidRPr="00A53689">
        <w:rPr>
          <w:lang w:val="en-US"/>
        </w:rPr>
        <w:tab/>
        <w:t>Evaluation activities</w:t>
      </w:r>
    </w:p>
    <w:p w14:paraId="67E5C76F" w14:textId="614CC7C7" w:rsidR="00202BBA" w:rsidRPr="00A53689" w:rsidRDefault="00202BBA"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59990298" w14:textId="5E05713C" w:rsidR="00006F7C" w:rsidRPr="00A53689" w:rsidRDefault="00006F7C"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7520D94B" w14:textId="7BB73A6B" w:rsidR="00202BBA" w:rsidRPr="00A53689" w:rsidRDefault="00006F7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15.26</w:t>
      </w:r>
      <w:r w:rsidR="00202BBA" w:rsidRPr="00A53689">
        <w:rPr>
          <w:lang w:val="en-US"/>
        </w:rPr>
        <w:tab/>
        <w:t>The following self-evaluations completed in 2020 have guided the proposed programme plan for</w:t>
      </w:r>
      <w:r w:rsidR="00BD029A" w:rsidRPr="00A53689">
        <w:rPr>
          <w:lang w:val="en-US"/>
        </w:rPr>
        <w:t> </w:t>
      </w:r>
      <w:r w:rsidR="00202BBA" w:rsidRPr="00A53689">
        <w:rPr>
          <w:lang w:val="en-US"/>
        </w:rPr>
        <w:t>2022:</w:t>
      </w:r>
    </w:p>
    <w:p w14:paraId="083D08A3" w14:textId="409FA246" w:rsidR="00202BBA" w:rsidRPr="00A53689" w:rsidRDefault="00006F7C"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202BBA" w:rsidRPr="00A53689">
        <w:rPr>
          <w:lang w:val="en-US"/>
        </w:rPr>
        <w:t>(a)</w:t>
      </w:r>
      <w:r w:rsidR="00202BBA" w:rsidRPr="00A53689">
        <w:rPr>
          <w:lang w:val="en-US"/>
        </w:rPr>
        <w:tab/>
        <w:t>Impact evaluation of the UN-Habitat housing approach on adequate, affordable housing and poverty reduction;</w:t>
      </w:r>
    </w:p>
    <w:p w14:paraId="28810865" w14:textId="31A34705" w:rsidR="00202BBA" w:rsidRPr="00A53689" w:rsidRDefault="00006F7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Pr="00A53689">
        <w:rPr>
          <w:lang w:val="en-US"/>
        </w:rPr>
        <w:tab/>
      </w:r>
      <w:r w:rsidR="00202BBA" w:rsidRPr="00A53689">
        <w:rPr>
          <w:lang w:val="en-US"/>
        </w:rPr>
        <w:t>(b)</w:t>
      </w:r>
      <w:r w:rsidR="00202BBA" w:rsidRPr="00A53689">
        <w:rPr>
          <w:lang w:val="en-US"/>
        </w:rPr>
        <w:tab/>
        <w:t>Final evaluation of the implementation of UN-Habitat strategic plan for the period 2014</w:t>
      </w:r>
      <w:r w:rsidRPr="00A53689">
        <w:rPr>
          <w:lang w:val="en-US"/>
        </w:rPr>
        <w:t>–</w:t>
      </w:r>
      <w:r w:rsidR="00202BBA" w:rsidRPr="00A53689">
        <w:rPr>
          <w:lang w:val="en-US"/>
        </w:rPr>
        <w:t>2019;</w:t>
      </w:r>
    </w:p>
    <w:p w14:paraId="792BC07D" w14:textId="7250485B" w:rsidR="00202BBA" w:rsidRPr="00A53689" w:rsidRDefault="00006F7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Pr="00A53689">
        <w:rPr>
          <w:lang w:val="en-US"/>
        </w:rPr>
        <w:tab/>
      </w:r>
      <w:r w:rsidR="00202BBA" w:rsidRPr="00A53689">
        <w:rPr>
          <w:lang w:val="en-US"/>
        </w:rPr>
        <w:t>(c)</w:t>
      </w:r>
      <w:r w:rsidR="00202BBA" w:rsidRPr="00A53689">
        <w:rPr>
          <w:lang w:val="en-US"/>
        </w:rPr>
        <w:tab/>
        <w:t>Midterm evaluation of the municipal governance support programme, 2015</w:t>
      </w:r>
      <w:r w:rsidRPr="00A53689">
        <w:rPr>
          <w:lang w:val="en-US"/>
        </w:rPr>
        <w:t>–</w:t>
      </w:r>
      <w:r w:rsidR="00202BBA" w:rsidRPr="00A53689">
        <w:rPr>
          <w:lang w:val="en-US"/>
        </w:rPr>
        <w:t>2021;</w:t>
      </w:r>
    </w:p>
    <w:p w14:paraId="1E846549" w14:textId="4C04EF96" w:rsidR="00202BBA" w:rsidRPr="00A53689" w:rsidRDefault="00006F7C"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lastRenderedPageBreak/>
        <w:tab/>
      </w:r>
      <w:r w:rsidRPr="00A53689">
        <w:rPr>
          <w:lang w:val="en-US"/>
        </w:rPr>
        <w:tab/>
      </w:r>
      <w:r w:rsidR="00202BBA" w:rsidRPr="00A53689">
        <w:rPr>
          <w:lang w:val="en-US"/>
        </w:rPr>
        <w:t>(d)</w:t>
      </w:r>
      <w:r w:rsidR="00202BBA" w:rsidRPr="00A53689">
        <w:rPr>
          <w:lang w:val="en-US"/>
        </w:rPr>
        <w:tab/>
        <w:t>Midterm evaluation of the Accelerating climate action through the promotion of Urban Low Emission Development Strategies (Urban-LEDS II) project;</w:t>
      </w:r>
    </w:p>
    <w:p w14:paraId="582E6E52" w14:textId="58ABB137" w:rsidR="00202BBA" w:rsidRPr="00A53689" w:rsidRDefault="00006F7C"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202BBA" w:rsidRPr="00A53689">
        <w:rPr>
          <w:lang w:val="en-US"/>
        </w:rPr>
        <w:t>(e)</w:t>
      </w:r>
      <w:r w:rsidR="00202BBA" w:rsidRPr="00A53689">
        <w:rPr>
          <w:lang w:val="en-US"/>
        </w:rPr>
        <w:tab/>
        <w:t>End-of-project evaluation of the Fostering the tenure and resilience of Palestinian communities through spatial economic planning intervention in area C project;</w:t>
      </w:r>
    </w:p>
    <w:p w14:paraId="084B209A" w14:textId="22AB832E" w:rsidR="00202BBA" w:rsidRPr="00A53689" w:rsidRDefault="00006F7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Pr="00A53689">
        <w:rPr>
          <w:lang w:val="en-US"/>
        </w:rPr>
        <w:tab/>
      </w:r>
      <w:r w:rsidR="00202BBA" w:rsidRPr="00A53689">
        <w:rPr>
          <w:lang w:val="en-US"/>
        </w:rPr>
        <w:t>(f)</w:t>
      </w:r>
      <w:r w:rsidR="00202BBA" w:rsidRPr="00A53689">
        <w:rPr>
          <w:lang w:val="en-US"/>
        </w:rPr>
        <w:tab/>
        <w:t>End-of-project evaluation of the making cities sustainable and resilient project (2016</w:t>
      </w:r>
      <w:r w:rsidRPr="00A53689">
        <w:rPr>
          <w:lang w:val="en-US"/>
        </w:rPr>
        <w:t>–</w:t>
      </w:r>
      <w:r w:rsidR="00202BBA" w:rsidRPr="00A53689">
        <w:rPr>
          <w:lang w:val="en-US"/>
        </w:rPr>
        <w:t>2020).</w:t>
      </w:r>
    </w:p>
    <w:p w14:paraId="452E5B22" w14:textId="3A1C10BC" w:rsidR="00202BBA" w:rsidRPr="00A53689" w:rsidRDefault="00006F7C" w:rsidP="00570B3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34" w:lineRule="exact"/>
        <w:ind w:left="1267" w:hanging="1267"/>
        <w:jc w:val="both"/>
        <w:rPr>
          <w:lang w:val="en-US"/>
        </w:rPr>
      </w:pPr>
      <w:r w:rsidRPr="00A53689">
        <w:rPr>
          <w:lang w:val="en-US"/>
        </w:rPr>
        <w:tab/>
      </w:r>
      <w:r w:rsidR="00202BBA" w:rsidRPr="00A53689">
        <w:rPr>
          <w:lang w:val="en-US"/>
        </w:rPr>
        <w:t>15.27</w:t>
      </w:r>
      <w:r w:rsidR="00202BBA" w:rsidRPr="00A53689">
        <w:rPr>
          <w:lang w:val="en-US"/>
        </w:rPr>
        <w:tab/>
        <w:t>The findings, lessons and recommendation of the self-evaluations referenced above have been taken into account for the programme plan for 2022 and informed the implementation of the strategic plan for the period 2020–2023. For example, on the basis of recommendations from the final evaluation of the strategic plan for the period 2014–2019, an inventory of normative tools is in development to facilitate the costing of methods used and strengthen linkages between normative and operational programming and learning within the organization. This is supported by the Umoja integrated planning, management and reporting tool, which is to be rolled out in 2021 and will contribute to strengthening processes and systems for integrated outcome-focused design, monitoring and reporting by tracking project outputs and outcomes, tools and linkages to the strategic plan. Further, UN-Habitat has built a network of focal points at the country level to strengthen its engagement in the common country analysis process in 15 selected countries and promote sustainable urbanization in relation to the United Nations reform process.</w:t>
      </w:r>
    </w:p>
    <w:p w14:paraId="1E6B011E" w14:textId="005DB937" w:rsidR="00202BBA" w:rsidRPr="00A53689" w:rsidRDefault="00006F7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15.28</w:t>
      </w:r>
      <w:r w:rsidR="00202BBA" w:rsidRPr="00A53689">
        <w:rPr>
          <w:lang w:val="en-US"/>
        </w:rPr>
        <w:tab/>
        <w:t>Based on recommendations stemming from the impact evaluation of the housing approach of UN</w:t>
      </w:r>
      <w:r w:rsidRPr="00A53689">
        <w:rPr>
          <w:lang w:val="en-US"/>
        </w:rPr>
        <w:noBreakHyphen/>
      </w:r>
      <w:r w:rsidR="00202BBA" w:rsidRPr="00A53689">
        <w:rPr>
          <w:lang w:val="en-US"/>
        </w:rPr>
        <w:t xml:space="preserve">Habitat, concerted efforts were made to advance the role of housing in the UN-Habitat portfolio. For example, housing was a theme of the Urban October 2020 Housing for All Campaign (#Housing4All), strengthening linkages with other UN-Habitat programmes and national and international partners. Moving forward, UN-Habitat is reviewing the operationalization of the right to adequate housing, including by developing a monitoring and reporting framework, and revising the position of UN-Habitat on and methods related to the governance and management of adequate housing. This has become all the more important in the light of the COVID-19 pandemic. </w:t>
      </w:r>
    </w:p>
    <w:p w14:paraId="0A16A69B" w14:textId="5479F3A2" w:rsidR="00202BBA" w:rsidRPr="00A53689" w:rsidRDefault="00006F7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15.29</w:t>
      </w:r>
      <w:r w:rsidR="00202BBA" w:rsidRPr="00A53689">
        <w:rPr>
          <w:lang w:val="en-US"/>
        </w:rPr>
        <w:tab/>
        <w:t>The following self-evaluations are planned for 2022:</w:t>
      </w:r>
    </w:p>
    <w:p w14:paraId="22023F75" w14:textId="231D87E4" w:rsidR="00202BBA" w:rsidRPr="00A53689" w:rsidRDefault="00006F7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Pr="00A53689">
        <w:rPr>
          <w:lang w:val="en-US"/>
        </w:rPr>
        <w:tab/>
      </w:r>
      <w:r w:rsidR="00202BBA" w:rsidRPr="00A53689">
        <w:rPr>
          <w:lang w:val="en-US"/>
        </w:rPr>
        <w:t>(a)</w:t>
      </w:r>
      <w:r w:rsidR="00202BBA" w:rsidRPr="00A53689">
        <w:rPr>
          <w:lang w:val="en-US"/>
        </w:rPr>
        <w:tab/>
        <w:t>Evaluation of the impact and outcomes of the eleventh session of the World Urban Forum;</w:t>
      </w:r>
    </w:p>
    <w:p w14:paraId="4B49395B" w14:textId="0854A25B" w:rsidR="00202BBA" w:rsidRPr="00A53689" w:rsidRDefault="00006F7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Pr="00A53689">
        <w:rPr>
          <w:lang w:val="en-US"/>
        </w:rPr>
        <w:tab/>
      </w:r>
      <w:r w:rsidR="00202BBA" w:rsidRPr="00A53689">
        <w:rPr>
          <w:lang w:val="en-US"/>
        </w:rPr>
        <w:t>(b)</w:t>
      </w:r>
      <w:r w:rsidR="00202BBA" w:rsidRPr="00A53689">
        <w:rPr>
          <w:lang w:val="en-US"/>
        </w:rPr>
        <w:tab/>
        <w:t>Evaluation of two country programmes;</w:t>
      </w:r>
    </w:p>
    <w:p w14:paraId="532A2755" w14:textId="4136016C" w:rsidR="00202BBA" w:rsidRPr="00A53689" w:rsidRDefault="00006F7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Pr="00A53689">
        <w:rPr>
          <w:lang w:val="en-US"/>
        </w:rPr>
        <w:tab/>
      </w:r>
      <w:r w:rsidR="00202BBA" w:rsidRPr="00A53689">
        <w:rPr>
          <w:lang w:val="en-US"/>
        </w:rPr>
        <w:t>(c)</w:t>
      </w:r>
      <w:r w:rsidR="00202BBA" w:rsidRPr="00A53689">
        <w:rPr>
          <w:lang w:val="en-US"/>
        </w:rPr>
        <w:tab/>
        <w:t>Six evaluations of projects that close in 2022;</w:t>
      </w:r>
    </w:p>
    <w:p w14:paraId="1333C877" w14:textId="16F8A2DA" w:rsidR="00202BBA" w:rsidRPr="00A53689" w:rsidRDefault="00006F7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Pr="00A53689">
        <w:rPr>
          <w:lang w:val="en-US"/>
        </w:rPr>
        <w:tab/>
      </w:r>
      <w:r w:rsidR="00202BBA" w:rsidRPr="00A53689">
        <w:rPr>
          <w:lang w:val="en-US"/>
        </w:rPr>
        <w:t>(d)</w:t>
      </w:r>
      <w:r w:rsidR="00202BBA" w:rsidRPr="00A53689">
        <w:rPr>
          <w:lang w:val="en-US"/>
        </w:rPr>
        <w:tab/>
        <w:t>Two thematic self-evaluations.</w:t>
      </w:r>
    </w:p>
    <w:p w14:paraId="449E35E0" w14:textId="3EB0443A" w:rsidR="00202BBA" w:rsidRPr="00A53689" w:rsidRDefault="00202BBA"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0D428A34" w14:textId="4CBCA4C9" w:rsidR="00006F7C" w:rsidRPr="00A53689" w:rsidRDefault="00006F7C"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0485B882" w14:textId="77777777" w:rsidR="00202BBA" w:rsidRPr="00A53689" w:rsidRDefault="00202BBA" w:rsidP="00006F7C">
      <w:pPr>
        <w:pStyle w:val="HCh"/>
        <w:ind w:left="1267" w:right="1260" w:hanging="1267"/>
        <w:rPr>
          <w:lang w:val="en-US"/>
        </w:rPr>
      </w:pPr>
      <w:r w:rsidRPr="00A53689">
        <w:rPr>
          <w:lang w:val="en-US"/>
        </w:rPr>
        <w:tab/>
      </w:r>
      <w:r w:rsidRPr="00A53689">
        <w:rPr>
          <w:lang w:val="en-US"/>
        </w:rPr>
        <w:tab/>
        <w:t>Programme of work</w:t>
      </w:r>
    </w:p>
    <w:p w14:paraId="1903F672" w14:textId="15E7271C" w:rsidR="00202BBA" w:rsidRPr="00A53689" w:rsidRDefault="00202BBA"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5FD41CDC" w14:textId="67640CE5" w:rsidR="00006F7C" w:rsidRPr="00A53689" w:rsidRDefault="00006F7C"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7D8CF1ED" w14:textId="57ECA25E" w:rsidR="00202BBA" w:rsidRPr="00A53689" w:rsidRDefault="00202BBA" w:rsidP="00006F7C">
      <w:pPr>
        <w:pStyle w:val="H1"/>
        <w:ind w:right="1260"/>
        <w:rPr>
          <w:lang w:val="en-US"/>
        </w:rPr>
      </w:pPr>
      <w:r w:rsidRPr="00A53689">
        <w:rPr>
          <w:lang w:val="en-US"/>
        </w:rPr>
        <w:tab/>
      </w:r>
      <w:r w:rsidRPr="00A53689">
        <w:rPr>
          <w:lang w:val="en-US"/>
        </w:rPr>
        <w:tab/>
        <w:t>Subprogramme 1</w:t>
      </w:r>
    </w:p>
    <w:p w14:paraId="232A011E" w14:textId="77777777" w:rsidR="00202BBA" w:rsidRPr="00A53689" w:rsidRDefault="00202BBA" w:rsidP="00006F7C">
      <w:pPr>
        <w:pStyle w:val="H1"/>
        <w:ind w:right="1260"/>
        <w:rPr>
          <w:lang w:val="en-US"/>
        </w:rPr>
      </w:pPr>
      <w:r w:rsidRPr="00A53689">
        <w:rPr>
          <w:lang w:val="en-US"/>
        </w:rPr>
        <w:tab/>
      </w:r>
      <w:r w:rsidRPr="00A53689">
        <w:rPr>
          <w:lang w:val="en-US"/>
        </w:rPr>
        <w:tab/>
        <w:t xml:space="preserve">Reduced spatial inequality and poverty in communities across the urban-rural continuum </w:t>
      </w:r>
    </w:p>
    <w:p w14:paraId="1D79A4A8" w14:textId="2C1DCC16" w:rsidR="00202BBA" w:rsidRPr="00A53689" w:rsidRDefault="00202BBA"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0E2B3CF7" w14:textId="2BCE8275" w:rsidR="00006F7C" w:rsidRPr="00A53689" w:rsidRDefault="00006F7C" w:rsidP="00006F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67DD7832" w14:textId="325F0107" w:rsidR="00202BBA" w:rsidRPr="00A53689" w:rsidRDefault="00202BBA" w:rsidP="00006F7C">
      <w:pPr>
        <w:pStyle w:val="H1"/>
        <w:ind w:right="1260"/>
        <w:rPr>
          <w:lang w:val="en-US"/>
        </w:rPr>
      </w:pPr>
      <w:r w:rsidRPr="00A53689">
        <w:rPr>
          <w:lang w:val="en-US"/>
        </w:rPr>
        <w:tab/>
      </w:r>
      <w:r w:rsidRPr="00A53689">
        <w:rPr>
          <w:lang w:val="en-US"/>
        </w:rPr>
        <w:tab/>
        <w:t>Objective</w:t>
      </w:r>
    </w:p>
    <w:p w14:paraId="01B72D35" w14:textId="6B4DFE8D" w:rsidR="00006F7C" w:rsidRPr="00A53689" w:rsidRDefault="00006F7C" w:rsidP="00006F7C">
      <w:pPr>
        <w:pStyle w:val="SingleTxt"/>
        <w:spacing w:after="0" w:line="120" w:lineRule="exact"/>
        <w:rPr>
          <w:sz w:val="10"/>
          <w:lang w:val="en-US"/>
        </w:rPr>
      </w:pPr>
    </w:p>
    <w:p w14:paraId="2A2B5F30" w14:textId="5CEF777F" w:rsidR="00006F7C" w:rsidRPr="00A53689" w:rsidRDefault="00006F7C" w:rsidP="00006F7C">
      <w:pPr>
        <w:pStyle w:val="SingleTxt"/>
        <w:spacing w:after="0" w:line="120" w:lineRule="exact"/>
        <w:rPr>
          <w:sz w:val="10"/>
          <w:lang w:val="en-US"/>
        </w:rPr>
      </w:pPr>
    </w:p>
    <w:p w14:paraId="0179214F" w14:textId="7AE929C1" w:rsidR="00570B35" w:rsidRDefault="00006F7C" w:rsidP="00570B35">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15.30</w:t>
      </w:r>
      <w:r w:rsidR="00202BBA" w:rsidRPr="00A53689">
        <w:rPr>
          <w:lang w:val="en-US"/>
        </w:rPr>
        <w:tab/>
        <w:t>The objective, to which this subprogramme contributes, is to reduce inequality between and within communities, and to reduce poverty in communities across the urban-rural continuum through increased and equal access to basic services, sustainable mobility, accessible and safe public space, increased and secure access to land, adequate and affordable housing and effective human settlements growth and regeneration.</w:t>
      </w:r>
      <w:r w:rsidR="00570B35">
        <w:rPr>
          <w:lang w:val="en-US"/>
        </w:rPr>
        <w:t xml:space="preserve"> </w:t>
      </w:r>
      <w:r w:rsidR="00570B35">
        <w:rPr>
          <w:lang w:val="en-US"/>
        </w:rPr>
        <w:br w:type="page"/>
      </w:r>
    </w:p>
    <w:p w14:paraId="10E26A50" w14:textId="05A66A9C" w:rsidR="00202BBA" w:rsidRPr="00A53689" w:rsidRDefault="00BD029A" w:rsidP="00BD029A">
      <w:pPr>
        <w:pStyle w:val="H1"/>
        <w:ind w:right="1260"/>
        <w:rPr>
          <w:lang w:val="en-US"/>
        </w:rPr>
      </w:pPr>
      <w:r w:rsidRPr="00A53689">
        <w:rPr>
          <w:lang w:val="en-US"/>
        </w:rPr>
        <w:lastRenderedPageBreak/>
        <w:tab/>
      </w:r>
      <w:r w:rsidRPr="00A53689">
        <w:rPr>
          <w:lang w:val="en-US"/>
        </w:rPr>
        <w:tab/>
      </w:r>
      <w:r w:rsidR="00202BBA" w:rsidRPr="00A53689">
        <w:rPr>
          <w:lang w:val="en-US"/>
        </w:rPr>
        <w:t>Strategy</w:t>
      </w:r>
    </w:p>
    <w:p w14:paraId="5C549E17" w14:textId="3541B3C5" w:rsidR="00BD029A" w:rsidRPr="00A53689" w:rsidRDefault="00BD029A" w:rsidP="00BD029A">
      <w:pPr>
        <w:pStyle w:val="SingleTxt"/>
        <w:spacing w:after="0" w:line="120" w:lineRule="exact"/>
        <w:rPr>
          <w:sz w:val="10"/>
          <w:lang w:val="en-US"/>
        </w:rPr>
      </w:pPr>
    </w:p>
    <w:p w14:paraId="349A571F" w14:textId="200D0FD6" w:rsidR="00BD029A" w:rsidRPr="00A53689" w:rsidRDefault="00BD029A" w:rsidP="00BD029A">
      <w:pPr>
        <w:pStyle w:val="SingleTxt"/>
        <w:spacing w:after="0" w:line="120" w:lineRule="exact"/>
        <w:rPr>
          <w:sz w:val="10"/>
          <w:lang w:val="en-US"/>
        </w:rPr>
      </w:pPr>
    </w:p>
    <w:p w14:paraId="5915347C" w14:textId="2A6A2255" w:rsidR="00202BBA" w:rsidRPr="00A53689" w:rsidRDefault="00BD029A"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15.31</w:t>
      </w:r>
      <w:r w:rsidR="00202BBA" w:rsidRPr="00A53689">
        <w:rPr>
          <w:lang w:val="en-US"/>
        </w:rPr>
        <w:tab/>
        <w:t>To contribute to the objective, the subprogramme will develop and disseminate toolkits, standards and technical guidelines to Member States, and engage partner cities in policy dialogues, peer-to-peer support, the sharing of best practices, training sessions and other capacity-building initiatives to strengthen institutional and managerial capacity towards improved access to and the efficiency, quality, reliability and sustainability of basic services, such as water, sanitation and energy, and the provision of sustainable mobility and public space in order to mitigate and adapt to climate change and reduce environmental impacts, such as air and water pollution. In the area of waste management, the subprogramme will continue to expand its Waste Wise Cities campaign, which focuses on mobilizing national and local governments to commit to improving their waste management practices and resource efficiency through rethinking, reducing, reusing and recycling materials and waste before and after consumption, UN-Habitat will also support national and local authorities in building capacity to use frontier technologies to improve the provision and management of basic services for all. This work helps Member States make progress towards achieving the Sustainable Development Goals, in particular Goals 1, 6, 7, 11, 12 and 14.</w:t>
      </w:r>
    </w:p>
    <w:p w14:paraId="1D8B6672" w14:textId="44B3D25F" w:rsidR="00202BBA" w:rsidRPr="00A53689" w:rsidRDefault="00BD029A"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15.32</w:t>
      </w:r>
      <w:r w:rsidR="00202BBA" w:rsidRPr="00A53689">
        <w:rPr>
          <w:lang w:val="en-US"/>
        </w:rPr>
        <w:tab/>
        <w:t>The subprogramme will provide Member States with policy, legislation, planning and financing instruments to implement integrated and inclusive and gender-responsive land and housing policies that improve tenure security for all, provide adequate, affordable housing and prevent unlawful forced evictions. The subprogramme will advocate for the implementation of sustainable building codes, regulations and sustainability certification tools for the housing sector while contributing to an urban energy transition. This work helps Member States make progress towards achieving Goals 1, 2, 5, 11 and 15.</w:t>
      </w:r>
    </w:p>
    <w:p w14:paraId="07E5DE63" w14:textId="419A68E5" w:rsidR="00202BBA" w:rsidRPr="00A53689" w:rsidRDefault="00BD029A"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15.33</w:t>
      </w:r>
      <w:r w:rsidR="00202BBA" w:rsidRPr="00A53689">
        <w:rPr>
          <w:lang w:val="en-US"/>
        </w:rPr>
        <w:tab/>
        <w:t xml:space="preserve">The subprogramme will also provide technical assistance to national and local governments to develop specific integrated plans, policies, technical guidelines and toolkits in line with the International Guidelines on Urban and Territorial Planning and principles of sustainable urbanization. The subprogramme will provide technical assistance to national and local governments and cities seeking to develop specific bankable, catalytic and pilot urban interventions. It will support partner cities in institutionalizing different approaches on urban regeneration through the development of specific plans, policies, technical guidelines and toolkits. The subprogramme will provide guidance on how planning for urban expansion and regeneration can contribute to climate mitigation and adaptation and make urban growth more inclusive. This work helps Member States make progress towards achieving Goal 11. </w:t>
      </w:r>
    </w:p>
    <w:p w14:paraId="18912D92" w14:textId="5BB6DF9F" w:rsidR="00202BBA" w:rsidRPr="00A53689" w:rsidRDefault="00BD029A"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15.34</w:t>
      </w:r>
      <w:r w:rsidR="00202BBA" w:rsidRPr="00A53689">
        <w:rPr>
          <w:lang w:val="en-US"/>
        </w:rPr>
        <w:tab/>
        <w:t xml:space="preserve">The subprogramme will continue to support Member States on issues related to COVID-19 by supporting national and local governments on recovering from COVID-19 in cities and human settlements by disseminating toolkits, best practices and technical guidelines for addressing the structural inequalities exposed by the pandemic. The subprogramme will scale up access to basic and social services, sustainable mobility and safe public space, in particular in urban slums and informal settlements and for people in vulnerable situations, focus more on the need for adequate and affordable housing and the prevention of unlawful evictions and develop more integrated and inclusive urban development programming, integrating, for instance, health in urban and territorial planning and ensuring proximity to jobs and basic services and infrastructure. </w:t>
      </w:r>
    </w:p>
    <w:p w14:paraId="148DF6F5" w14:textId="11ADCD14" w:rsidR="00202BBA" w:rsidRPr="00A53689" w:rsidRDefault="00BD029A"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15.35</w:t>
      </w:r>
      <w:r w:rsidR="00202BBA" w:rsidRPr="00A53689">
        <w:rPr>
          <w:lang w:val="en-US"/>
        </w:rPr>
        <w:tab/>
        <w:t xml:space="preserve">The above-mentioned work is expected to result in: </w:t>
      </w:r>
    </w:p>
    <w:p w14:paraId="2547E255" w14:textId="4EB7E073" w:rsidR="00202BBA" w:rsidRPr="00A53689" w:rsidRDefault="00BD029A"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Pr="00A53689">
        <w:rPr>
          <w:lang w:val="en-US"/>
        </w:rPr>
        <w:tab/>
      </w:r>
      <w:r w:rsidR="00202BBA" w:rsidRPr="00A53689">
        <w:rPr>
          <w:lang w:val="en-US"/>
        </w:rPr>
        <w:t>(a)</w:t>
      </w:r>
      <w:r w:rsidRPr="00A53689">
        <w:rPr>
          <w:lang w:val="en-US"/>
        </w:rPr>
        <w:tab/>
      </w:r>
      <w:r w:rsidR="00202BBA" w:rsidRPr="00A53689">
        <w:rPr>
          <w:lang w:val="en-US"/>
        </w:rPr>
        <w:t xml:space="preserve">Improved quality, accessibility, inclusion and safety of public spaces for all in urban areas; </w:t>
      </w:r>
    </w:p>
    <w:p w14:paraId="51C29BBD" w14:textId="1D2B0656" w:rsidR="00202BBA" w:rsidRPr="00A53689" w:rsidRDefault="00BD029A" w:rsidP="00BD02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202BBA" w:rsidRPr="00A53689">
        <w:rPr>
          <w:lang w:val="en-US"/>
        </w:rPr>
        <w:t>(b)</w:t>
      </w:r>
      <w:r w:rsidRPr="00A53689">
        <w:rPr>
          <w:lang w:val="en-US"/>
        </w:rPr>
        <w:tab/>
      </w:r>
      <w:r w:rsidR="00202BBA" w:rsidRPr="00A53689">
        <w:rPr>
          <w:lang w:val="en-US"/>
        </w:rPr>
        <w:t xml:space="preserve">An increased number of people living in adequate and affordable housing and strengthened capacities of policymakers to implement sustainable land governance systems; </w:t>
      </w:r>
    </w:p>
    <w:p w14:paraId="31DD78BA" w14:textId="203932DD" w:rsidR="00202BBA" w:rsidRPr="00A53689" w:rsidRDefault="00BD029A" w:rsidP="00BD02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lang w:val="en-US"/>
        </w:rPr>
      </w:pPr>
      <w:r w:rsidRPr="00A53689">
        <w:rPr>
          <w:lang w:val="en-US"/>
        </w:rPr>
        <w:tab/>
      </w:r>
      <w:r w:rsidRPr="00A53689">
        <w:rPr>
          <w:lang w:val="en-US"/>
        </w:rPr>
        <w:tab/>
      </w:r>
      <w:r w:rsidR="00202BBA" w:rsidRPr="00A53689">
        <w:rPr>
          <w:lang w:val="en-US"/>
        </w:rPr>
        <w:t>(c)</w:t>
      </w:r>
      <w:r w:rsidRPr="00A53689">
        <w:rPr>
          <w:lang w:val="en-US"/>
        </w:rPr>
        <w:tab/>
      </w:r>
      <w:r w:rsidR="00202BBA" w:rsidRPr="00A53689">
        <w:rPr>
          <w:lang w:val="en-US"/>
        </w:rPr>
        <w:t>The transformation and regeneration of dilapidated urban areas into social and economically inclusive areas that offer improved quality of life to inhabitants.</w:t>
      </w:r>
    </w:p>
    <w:p w14:paraId="4D611AEE" w14:textId="215303B7" w:rsidR="00BD029A" w:rsidRPr="00A53689" w:rsidRDefault="00BD029A" w:rsidP="00BD02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742" w:hanging="1742"/>
        <w:jc w:val="both"/>
        <w:rPr>
          <w:sz w:val="10"/>
          <w:lang w:val="en-US"/>
        </w:rPr>
      </w:pPr>
    </w:p>
    <w:p w14:paraId="08C24280" w14:textId="1F7DD2C3" w:rsidR="00BD029A" w:rsidRPr="00A53689" w:rsidRDefault="00BD029A" w:rsidP="00BD02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742" w:hanging="1742"/>
        <w:jc w:val="both"/>
        <w:rPr>
          <w:sz w:val="10"/>
          <w:lang w:val="en-US"/>
        </w:rPr>
      </w:pPr>
    </w:p>
    <w:p w14:paraId="186D53F6" w14:textId="30C0457A" w:rsidR="00202BBA" w:rsidRPr="00A53689" w:rsidRDefault="00BD029A" w:rsidP="00570B35">
      <w:pPr>
        <w:pStyle w:val="H1"/>
        <w:ind w:right="1260"/>
        <w:rPr>
          <w:lang w:val="en-US"/>
        </w:rPr>
      </w:pPr>
      <w:r w:rsidRPr="00A53689">
        <w:rPr>
          <w:lang w:val="en-US"/>
        </w:rPr>
        <w:lastRenderedPageBreak/>
        <w:tab/>
      </w:r>
      <w:r w:rsidRPr="00A53689">
        <w:rPr>
          <w:lang w:val="en-US"/>
        </w:rPr>
        <w:tab/>
      </w:r>
      <w:r w:rsidR="00202BBA" w:rsidRPr="00A53689">
        <w:rPr>
          <w:lang w:val="en-US"/>
        </w:rPr>
        <w:t>Programme performance in 2020</w:t>
      </w:r>
    </w:p>
    <w:p w14:paraId="5B361C28" w14:textId="45E30545" w:rsidR="00BD029A" w:rsidRPr="00A53689" w:rsidRDefault="00BD029A" w:rsidP="00570B35">
      <w:pPr>
        <w:pStyle w:val="SingleTxt"/>
        <w:keepNext/>
        <w:keepLines/>
        <w:spacing w:after="0" w:line="120" w:lineRule="exact"/>
        <w:rPr>
          <w:sz w:val="10"/>
          <w:lang w:val="en-US"/>
        </w:rPr>
      </w:pPr>
    </w:p>
    <w:p w14:paraId="314E00A2" w14:textId="187B1528" w:rsidR="00BD029A" w:rsidRPr="00A53689" w:rsidRDefault="00BD029A" w:rsidP="00570B35">
      <w:pPr>
        <w:pStyle w:val="SingleTxt"/>
        <w:keepNext/>
        <w:keepLines/>
        <w:spacing w:after="0" w:line="120" w:lineRule="exact"/>
        <w:rPr>
          <w:sz w:val="10"/>
          <w:lang w:val="en-US"/>
        </w:rPr>
      </w:pPr>
    </w:p>
    <w:p w14:paraId="353AB66C" w14:textId="785731AE" w:rsidR="00202BBA" w:rsidRPr="00A53689" w:rsidRDefault="00BD029A" w:rsidP="00570B3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15.36</w:t>
      </w:r>
      <w:r w:rsidR="00202BBA" w:rsidRPr="00A53689">
        <w:rPr>
          <w:lang w:val="en-US"/>
        </w:rPr>
        <w:tab/>
        <w:t>Programme performance in 2020 includes the below result that emerged during 2020, as well as programme performance presented under results 1 and 2 below.</w:t>
      </w:r>
    </w:p>
    <w:p w14:paraId="28750D99" w14:textId="4419E7D5" w:rsidR="00202BBA" w:rsidRPr="00A53689" w:rsidRDefault="00202BBA" w:rsidP="00BD02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2D97818C" w14:textId="60E99FEA" w:rsidR="00202BBA" w:rsidRPr="00A53689" w:rsidRDefault="00BD029A" w:rsidP="00BD02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90" w:hanging="1267"/>
      </w:pPr>
      <w:r w:rsidRPr="00A53689">
        <w:tab/>
      </w:r>
      <w:r w:rsidRPr="00A53689">
        <w:tab/>
      </w:r>
      <w:r w:rsidR="00202BBA" w:rsidRPr="00A53689">
        <w:t>Transformed cities and communities through safe, inclusive and accessible public spaces</w:t>
      </w:r>
    </w:p>
    <w:p w14:paraId="7DA8D076" w14:textId="505233C1" w:rsidR="00BD029A" w:rsidRPr="00A53689" w:rsidRDefault="00BD029A" w:rsidP="00BD029A">
      <w:pPr>
        <w:pStyle w:val="SingleTxt"/>
        <w:spacing w:after="0" w:line="120" w:lineRule="exact"/>
        <w:rPr>
          <w:sz w:val="10"/>
          <w:lang w:val="en-US"/>
        </w:rPr>
      </w:pPr>
    </w:p>
    <w:p w14:paraId="28519EF8" w14:textId="7BDDE683" w:rsidR="00202BBA" w:rsidRPr="00A53689" w:rsidRDefault="00BD029A"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15.37</w:t>
      </w:r>
      <w:r w:rsidR="00202BBA" w:rsidRPr="00A53689">
        <w:rPr>
          <w:lang w:val="en-US"/>
        </w:rPr>
        <w:tab/>
        <w:t xml:space="preserve">Public space represents a vital element of urban efficiency, mobility and social interaction. Public spaces are diminishing and are unequally distributed due to unplanned development, inadequate street networks, overcrowding, encroachment, poor maintenance and privatization. These factors contribute to public spaces often being inaccessible to large sections of society. The challenge of inadequate public spaces compounds spatial inequalities and specifically harms the urban poor and marginalized communities. Cities and towns struggle to identify relevant, locally based approaches to co-create and implement public space interventions at different scales and to maintain those spaces. The COVID-19 crisis has also highlighted how public spaces represent a key lifeline for marginalized populations and an important asset for deploying emergency measures, facilitating the delivery of essential services and hosting well-spaced activities to enable recreation. Active in 88 cities, the subprogramme provided advice and technical support to cities and local governments worldwide on all dimensions of public space enhancement, from assessment to creation and management. For example, the subprogramme has developed tools and partnerships to undertake citywide public space assessments, implemented site-specific assessments in over 41 cities in 2020 and worked on both individual sites (26 in 2020) and citywide strategies (11 in 2020). The subprogramme encourages, women, children, youth, older persons and persons with disabilities to participate in the public space design processes by using tailored tools to reimagine and co-create their surroundings. In India, the United Arab Emirates and South Africa, the subprogramme engaged persons with disabilities to design public spaces to improve their accessibility and provide disability-friendly spaces while ensuring safety through providing spaces for all genders, supporting multifunctionality and amenities such as lighting. Through this process, the subprogramme engaged 6,750 citizens in participatory planning and 470 citizens in digital workshops, and trained 560 people on public space assessments. </w:t>
      </w:r>
    </w:p>
    <w:p w14:paraId="5E4C5207" w14:textId="359608F1" w:rsidR="00202BBA" w:rsidRPr="00A53689" w:rsidRDefault="00204267"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15.38</w:t>
      </w:r>
      <w:r w:rsidR="00202BBA" w:rsidRPr="00A53689">
        <w:rPr>
          <w:lang w:val="en-US"/>
        </w:rPr>
        <w:tab/>
        <w:t>The subprogramme also supported 10 cities in their COVID-19 recovery through capitalizing on public spaces as opportune places to restore livelihoods, increase accessibility to essential services and improve the well-being of those in vulnerable situations. These projects addressed a variety of challenges, such as decongestion and digitization of local markets, increasing hygiene and sanitation in slums, creating livelihood opportunities and raising awareness through culture and art. The project engaged 6,230 people in 88 workshops. The implementation of these small interventions enabled cities to slowly reopen and allowed communities to regain confidence in being out in the public realm and using public spaces safely for economic and social purposes. Furthermore, the subprogramme enabled local and national governments to embrace the potential of public spaces as flexible and resilient spaces during emergencies and crisis and understood the need to adopt policies and regulations and invest in scaling up interventions at the city level.</w:t>
      </w:r>
    </w:p>
    <w:p w14:paraId="57E1CB3C" w14:textId="0C3E93CB" w:rsidR="00204267" w:rsidRPr="00A53689" w:rsidRDefault="00204267" w:rsidP="0020426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30F3D0C1" w14:textId="3029A0F7" w:rsidR="00202BBA" w:rsidRPr="00A53689" w:rsidRDefault="00204267" w:rsidP="00204267">
      <w:pPr>
        <w:pStyle w:val="H4"/>
        <w:ind w:right="1260"/>
        <w:rPr>
          <w:lang w:val="en-US"/>
        </w:rPr>
      </w:pPr>
      <w:r w:rsidRPr="00A53689">
        <w:rPr>
          <w:lang w:val="en-US"/>
        </w:rPr>
        <w:tab/>
      </w:r>
      <w:r w:rsidR="00202BBA" w:rsidRPr="00A53689">
        <w:rPr>
          <w:lang w:val="en-US"/>
        </w:rPr>
        <w:tab/>
        <w:t>Progress towards the attainment of the objective, and performance measure</w:t>
      </w:r>
    </w:p>
    <w:p w14:paraId="481103F0" w14:textId="4FD0F0B8" w:rsidR="00204267" w:rsidRPr="00A53689" w:rsidRDefault="00204267" w:rsidP="00204267">
      <w:pPr>
        <w:pStyle w:val="SingleTxt"/>
        <w:spacing w:after="0" w:line="120" w:lineRule="exact"/>
        <w:rPr>
          <w:sz w:val="10"/>
          <w:lang w:val="en-US"/>
        </w:rPr>
      </w:pPr>
    </w:p>
    <w:p w14:paraId="149C3968" w14:textId="7448E0AF" w:rsidR="00202BBA" w:rsidRPr="00A53689" w:rsidRDefault="00204267"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15.39</w:t>
      </w:r>
      <w:r w:rsidR="00202BBA" w:rsidRPr="00A53689">
        <w:rPr>
          <w:lang w:val="en-US"/>
        </w:rPr>
        <w:tab/>
        <w:t xml:space="preserve">The above-mentioned work contributed to the objective, as demonstrated by 972,787 people in 88 cities who have access to safe and inclusive public spaces through public space interventions (see figure 15.I). </w:t>
      </w:r>
    </w:p>
    <w:p w14:paraId="48531496" w14:textId="47EC0503" w:rsidR="00202BBA" w:rsidRPr="00A53689" w:rsidRDefault="00202BBA" w:rsidP="006F68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1203A7AF" w14:textId="77777777" w:rsidR="00570B35" w:rsidRDefault="00570B35">
      <w:pPr>
        <w:suppressAutoHyphens w:val="0"/>
        <w:spacing w:after="200" w:line="276" w:lineRule="auto"/>
        <w:rPr>
          <w:bCs/>
          <w:lang w:val="en-US"/>
        </w:rPr>
      </w:pPr>
      <w:r>
        <w:rPr>
          <w:b/>
          <w:bCs/>
        </w:rPr>
        <w:br w:type="page"/>
      </w:r>
    </w:p>
    <w:p w14:paraId="3FEA2C1D" w14:textId="7A93C543" w:rsidR="00202BBA" w:rsidRPr="00A53689" w:rsidRDefault="00202BBA" w:rsidP="006F688E">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A53689">
        <w:rPr>
          <w:b w:val="0"/>
          <w:bCs/>
        </w:rPr>
        <w:lastRenderedPageBreak/>
        <w:t>Figure 15.I</w:t>
      </w:r>
    </w:p>
    <w:p w14:paraId="15AB1F51" w14:textId="65EB8406" w:rsidR="00202BBA" w:rsidRPr="00A53689" w:rsidRDefault="00202BBA" w:rsidP="006F688E">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pPr>
      <w:r w:rsidRPr="00A53689">
        <w:t>Performance measure: total number of beneficiaries in 88 cities with access to safe and inclusive public spaces through public space interventions (cumulative)</w:t>
      </w:r>
    </w:p>
    <w:p w14:paraId="1734C09C" w14:textId="1A483BCB" w:rsidR="006F688E" w:rsidRPr="00A53689" w:rsidRDefault="006F688E" w:rsidP="006F688E">
      <w:pPr>
        <w:pStyle w:val="SingleTxt"/>
        <w:keepNext/>
        <w:keepLines/>
        <w:spacing w:after="0" w:line="120" w:lineRule="exact"/>
        <w:rPr>
          <w:sz w:val="10"/>
          <w:lang w:val="en-US"/>
        </w:rPr>
      </w:pPr>
    </w:p>
    <w:p w14:paraId="602A9EB4" w14:textId="0AFAF7AD" w:rsidR="006F688E" w:rsidRPr="00A53689" w:rsidRDefault="003F219A" w:rsidP="006F688E">
      <w:pPr>
        <w:pStyle w:val="SingleTxt"/>
        <w:keepNext/>
        <w:keepLines/>
        <w:spacing w:after="0" w:line="120" w:lineRule="exact"/>
        <w:rPr>
          <w:sz w:val="10"/>
          <w:lang w:val="en-US"/>
        </w:rPr>
      </w:pPr>
      <w:r>
        <w:rPr>
          <w:noProof/>
          <w:lang w:val="en-US"/>
        </w:rPr>
        <w:drawing>
          <wp:anchor distT="0" distB="0" distL="114300" distR="114300" simplePos="0" relativeHeight="251665408" behindDoc="0" locked="0" layoutInCell="1" allowOverlap="1" wp14:anchorId="04FAF59A" wp14:editId="15D9E13E">
            <wp:simplePos x="0" y="0"/>
            <wp:positionH relativeFrom="margin">
              <wp:align>right</wp:align>
            </wp:positionH>
            <wp:positionV relativeFrom="paragraph">
              <wp:posOffset>81678</wp:posOffset>
            </wp:positionV>
            <wp:extent cx="6250940" cy="1974215"/>
            <wp:effectExtent l="0" t="0" r="0" b="698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250940" cy="1974215"/>
                    </a:xfrm>
                    <a:prstGeom prst="rect">
                      <a:avLst/>
                    </a:prstGeom>
                    <a:noFill/>
                  </pic:spPr>
                </pic:pic>
              </a:graphicData>
            </a:graphic>
            <wp14:sizeRelH relativeFrom="page">
              <wp14:pctWidth>0</wp14:pctWidth>
            </wp14:sizeRelH>
            <wp14:sizeRelV relativeFrom="page">
              <wp14:pctHeight>0</wp14:pctHeight>
            </wp14:sizeRelV>
          </wp:anchor>
        </w:drawing>
      </w:r>
    </w:p>
    <w:p w14:paraId="6CC26D92" w14:textId="79F27957" w:rsidR="006F688E" w:rsidRPr="00A53689" w:rsidRDefault="006F688E" w:rsidP="006F688E">
      <w:pPr>
        <w:pStyle w:val="SingleTxt"/>
        <w:spacing w:after="0" w:line="120" w:lineRule="exact"/>
        <w:rPr>
          <w:sz w:val="10"/>
          <w:lang w:val="en-US"/>
        </w:rPr>
      </w:pPr>
    </w:p>
    <w:p w14:paraId="6625EFD2" w14:textId="586E36CF" w:rsidR="006F688E" w:rsidRPr="00A53689" w:rsidRDefault="006F688E" w:rsidP="006F688E">
      <w:pPr>
        <w:pStyle w:val="SingleTxt"/>
        <w:spacing w:after="0" w:line="120" w:lineRule="exact"/>
        <w:rPr>
          <w:sz w:val="10"/>
          <w:lang w:val="en-US"/>
        </w:rPr>
      </w:pPr>
    </w:p>
    <w:p w14:paraId="20F52AB9" w14:textId="085E104E" w:rsidR="00202BBA" w:rsidRPr="00A53689" w:rsidRDefault="006F688E" w:rsidP="006F688E">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ab/>
      </w:r>
      <w:r w:rsidRPr="00A53689">
        <w:tab/>
      </w:r>
      <w:r w:rsidR="00202BBA" w:rsidRPr="00A53689">
        <w:t>Impact of COVID-19 on subprogramme delivery</w:t>
      </w:r>
    </w:p>
    <w:p w14:paraId="1BA430BE" w14:textId="04EEA98A" w:rsidR="006F688E" w:rsidRPr="00A53689" w:rsidRDefault="006F688E" w:rsidP="006F688E">
      <w:pPr>
        <w:pStyle w:val="SingleTxt"/>
        <w:spacing w:after="0" w:line="120" w:lineRule="exact"/>
        <w:rPr>
          <w:sz w:val="10"/>
          <w:lang w:val="en-US"/>
        </w:rPr>
      </w:pPr>
    </w:p>
    <w:p w14:paraId="7874B1E7" w14:textId="1613E65A" w:rsidR="00202BBA" w:rsidRPr="00A53689" w:rsidRDefault="006F688E"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15.40</w:t>
      </w:r>
      <w:r w:rsidR="00202BBA" w:rsidRPr="00A53689">
        <w:rPr>
          <w:lang w:val="en-US"/>
        </w:rPr>
        <w:tab/>
        <w:t xml:space="preserve">Owing to the impact of COVID-19 during 2020, the subprogramme cancelled planned in-person events, including seminars, training sessions, workshops and conferences as of the second quarter of 2020. On some occasions, these events were postponed until further notice or conducted remotely, utilizing the application of online conferencing tools. Considerable progress in the utilization of information and communications technology tools for the organization of urban planning sessions with stakeholder engagement processes was achieved. The adjustment to new working modalities had an impact on the programme performance in 2020, as specified in result 3 below. </w:t>
      </w:r>
    </w:p>
    <w:p w14:paraId="2FD9DBB0" w14:textId="796BF566" w:rsidR="00202BBA" w:rsidRPr="00A53689" w:rsidRDefault="006F688E"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15.41</w:t>
      </w:r>
      <w:r w:rsidR="00202BBA" w:rsidRPr="00A53689">
        <w:rPr>
          <w:lang w:val="en-US"/>
        </w:rPr>
        <w:tab/>
        <w:t>At the same time, however, the subprogramme identified new and modified activities to support Member States on issues related to the COVID-19 pandemic, within the overall scope of objectives and within the margins of projects funded from extrabudgetary resources, namely, technical advisory services and infrastructure solutions in order to enhance access to hygiene facilities, including access to safe drinking water and the extension of water supply to the most vulnerable communities, particularly in urban slums and informal areas. A particular emphasis was placed on expanding livelihood opportunities, particularly for households headed by women, and introducing sustainable management modalities for newly created infrastructure and service provision. In particular, the subprogramme supported the mainstreaming of housing and basic urban services as interventions highlighted in national-level socioeconomic impact assessments and recovery strategies at the country and city levels, as well as advised ongoing programme activities in this regard to adapt to COVID-19 response and recovery. Moreover, the subprogramme supported the development of an implementation tool for local authorities on leading local adaptation to COVID-19 in informal settlements. The modified deliverables contributed to results in 2020, as specified in the emerging result above.</w:t>
      </w:r>
    </w:p>
    <w:p w14:paraId="3DB2513A" w14:textId="7CE2EB9E" w:rsidR="006F688E" w:rsidRPr="00A53689" w:rsidRDefault="006F688E" w:rsidP="006F68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28760C87" w14:textId="53CB61E5" w:rsidR="006F688E" w:rsidRPr="00A53689" w:rsidRDefault="006F688E" w:rsidP="006F68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53CDB0A6" w14:textId="3D58BBE1" w:rsidR="00202BBA" w:rsidRPr="00A53689" w:rsidRDefault="006F688E" w:rsidP="006F688E">
      <w:pPr>
        <w:pStyle w:val="H1"/>
        <w:ind w:right="1260"/>
        <w:rPr>
          <w:lang w:val="en-US"/>
        </w:rPr>
      </w:pPr>
      <w:r w:rsidRPr="00A53689">
        <w:rPr>
          <w:lang w:val="en-US"/>
        </w:rPr>
        <w:tab/>
      </w:r>
      <w:r w:rsidR="00202BBA" w:rsidRPr="00A53689">
        <w:rPr>
          <w:lang w:val="en-US"/>
        </w:rPr>
        <w:tab/>
        <w:t>Planned results for 2022</w:t>
      </w:r>
    </w:p>
    <w:p w14:paraId="102C756B" w14:textId="14A132B6" w:rsidR="006F688E" w:rsidRPr="00A53689" w:rsidRDefault="006F688E" w:rsidP="006F688E">
      <w:pPr>
        <w:pStyle w:val="SingleTxt"/>
        <w:spacing w:after="0" w:line="120" w:lineRule="exact"/>
        <w:rPr>
          <w:sz w:val="10"/>
          <w:lang w:val="en-US"/>
        </w:rPr>
      </w:pPr>
    </w:p>
    <w:p w14:paraId="0723235F" w14:textId="6A10B047" w:rsidR="006F688E" w:rsidRPr="00A53689" w:rsidRDefault="006F688E" w:rsidP="006F688E">
      <w:pPr>
        <w:pStyle w:val="SingleTxt"/>
        <w:spacing w:after="0" w:line="120" w:lineRule="exact"/>
        <w:rPr>
          <w:sz w:val="10"/>
          <w:lang w:val="en-US"/>
        </w:rPr>
      </w:pPr>
    </w:p>
    <w:p w14:paraId="0A89EB54" w14:textId="3724C001" w:rsidR="00202BBA" w:rsidRPr="00A53689" w:rsidRDefault="006F688E"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15.42</w:t>
      </w:r>
      <w:r w:rsidR="00202BBA" w:rsidRPr="00A53689">
        <w:rPr>
          <w:lang w:val="en-US"/>
        </w:rPr>
        <w:tab/>
        <w:t>The planned results for 2022 include results 1 and 2, which are updates of results presented in the preceding proposed programme plans and therefore show both the programme performance in 2020 and the proposed programme plan for 2022. Result 3 is a new planned result.</w:t>
      </w:r>
    </w:p>
    <w:p w14:paraId="17E6C1A2" w14:textId="0A9F111D" w:rsidR="006F688E" w:rsidRPr="00A53689" w:rsidRDefault="006F688E" w:rsidP="006F688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252E6559" w14:textId="2217F477" w:rsidR="00202BBA" w:rsidRPr="00A53689" w:rsidRDefault="00202BBA" w:rsidP="003F219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lastRenderedPageBreak/>
        <w:tab/>
      </w:r>
      <w:r w:rsidRPr="00A53689">
        <w:tab/>
        <w:t>Result 1: Strengthened land rights for men and women in the Arab world</w:t>
      </w:r>
      <w:r w:rsidR="006F688E" w:rsidRPr="00A53689">
        <w:rPr>
          <w:rStyle w:val="FootnoteReference"/>
          <w:b w:val="0"/>
          <w:bCs/>
        </w:rPr>
        <w:footnoteReference w:id="2"/>
      </w:r>
    </w:p>
    <w:p w14:paraId="3A45C355" w14:textId="21637750" w:rsidR="006F688E" w:rsidRPr="00A53689" w:rsidRDefault="006F688E" w:rsidP="003F219A">
      <w:pPr>
        <w:pStyle w:val="SingleTxt"/>
        <w:keepNext/>
        <w:keepLines/>
        <w:spacing w:after="0" w:line="120" w:lineRule="exact"/>
        <w:rPr>
          <w:sz w:val="10"/>
          <w:lang w:val="en-US"/>
        </w:rPr>
      </w:pPr>
    </w:p>
    <w:p w14:paraId="7FF2D15C" w14:textId="2D3E738B" w:rsidR="00202BBA" w:rsidRPr="00A53689" w:rsidRDefault="006F688E" w:rsidP="003F219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ab/>
      </w:r>
      <w:r w:rsidRPr="00A53689">
        <w:tab/>
      </w:r>
      <w:r w:rsidR="00202BBA" w:rsidRPr="00A53689">
        <w:t>Programme performance in 2020</w:t>
      </w:r>
    </w:p>
    <w:p w14:paraId="4FE379C1" w14:textId="64C2CE48" w:rsidR="006F688E" w:rsidRPr="00A53689" w:rsidRDefault="006F688E" w:rsidP="003F219A">
      <w:pPr>
        <w:pStyle w:val="SingleTxt"/>
        <w:keepNext/>
        <w:keepLines/>
        <w:spacing w:after="0" w:line="120" w:lineRule="exact"/>
        <w:rPr>
          <w:sz w:val="10"/>
          <w:lang w:val="en-US"/>
        </w:rPr>
      </w:pPr>
    </w:p>
    <w:p w14:paraId="2156A1F2" w14:textId="19C2323F" w:rsidR="00202BBA" w:rsidRPr="00A53689" w:rsidRDefault="006F688E" w:rsidP="003F21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15.43</w:t>
      </w:r>
      <w:r w:rsidR="00202BBA" w:rsidRPr="00A53689">
        <w:rPr>
          <w:lang w:val="en-US"/>
        </w:rPr>
        <w:tab/>
        <w:t>The subprogramme has continued to support the work done by partners and other land actors in the Arab region by establishing partnerships and formalizing collaboration with eight organizations in the region. The subprogramme also held one partnership-building event with champions based in the region. Furthermore, the subprogramme conducted two capacity development events, on monitoring land governance and land tenure security in the Arab region (Middle East subregion) and on the role of civil society organizations in land governance in the Arab region.</w:t>
      </w:r>
    </w:p>
    <w:p w14:paraId="138F8D92" w14:textId="387176E9" w:rsidR="00202BBA" w:rsidRPr="00A53689" w:rsidRDefault="006F688E"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15.44</w:t>
      </w:r>
      <w:r w:rsidR="00202BBA" w:rsidRPr="00A53689">
        <w:rPr>
          <w:lang w:val="en-US"/>
        </w:rPr>
        <w:tab/>
        <w:t>The above-mentioned work contributed to eight institutions involved in land administration in the Arab States implementing inclusive and gender-appropriate normative products on land as tools to develop their research and curricula with support from UN-Habitat, which exceeded the planned target of six institutions reflected in the proposed programme budget for 2020.</w:t>
      </w:r>
    </w:p>
    <w:p w14:paraId="73EB9FC9" w14:textId="315DC560" w:rsidR="001A66A9" w:rsidRPr="00A53689" w:rsidRDefault="001A66A9" w:rsidP="001A66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0536C68D" w14:textId="377C56F9" w:rsidR="00202BBA" w:rsidRPr="00A53689" w:rsidRDefault="001A66A9" w:rsidP="001A6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ab/>
      </w:r>
      <w:r w:rsidR="00202BBA" w:rsidRPr="00A53689">
        <w:tab/>
        <w:t>Proposed programme plan for 2022</w:t>
      </w:r>
    </w:p>
    <w:p w14:paraId="382160BB" w14:textId="7388AA57" w:rsidR="001A66A9" w:rsidRPr="00A53689" w:rsidRDefault="001A66A9" w:rsidP="001A66A9">
      <w:pPr>
        <w:pStyle w:val="SingleTxt"/>
        <w:spacing w:after="0" w:line="120" w:lineRule="exact"/>
        <w:rPr>
          <w:sz w:val="10"/>
          <w:lang w:val="en-US"/>
        </w:rPr>
      </w:pPr>
    </w:p>
    <w:p w14:paraId="216BBEA8" w14:textId="41D8009B" w:rsidR="00202BBA" w:rsidRPr="00A53689" w:rsidRDefault="001A66A9"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15.45</w:t>
      </w:r>
      <w:r w:rsidR="00202BBA" w:rsidRPr="00A53689">
        <w:rPr>
          <w:lang w:val="en-US"/>
        </w:rPr>
        <w:tab/>
        <w:t xml:space="preserve">The subprogramme will continue the work related to the planned result, in line with its mandate. To contribute to further progress towards the objective, the subprogramme will continue the capacity development, as well as the knowledge- and partnership-building, in the region. The expected progress is presented in the updated performance measure below (see table 15.2). </w:t>
      </w:r>
    </w:p>
    <w:p w14:paraId="3D7DE5AF" w14:textId="169C107B" w:rsidR="00202BBA" w:rsidRPr="00A53689" w:rsidRDefault="00202BBA" w:rsidP="001A66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21E13C53" w14:textId="77777777" w:rsidR="00202BBA" w:rsidRPr="00A53689" w:rsidRDefault="00202BBA" w:rsidP="001A6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A53689">
        <w:rPr>
          <w:b w:val="0"/>
          <w:bCs/>
        </w:rPr>
        <w:t>Table 15.2</w:t>
      </w:r>
    </w:p>
    <w:p w14:paraId="58D3F625" w14:textId="77777777" w:rsidR="00202BBA" w:rsidRPr="00A53689" w:rsidRDefault="00202BBA" w:rsidP="001A66A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 xml:space="preserve">Performance measure </w:t>
      </w:r>
    </w:p>
    <w:p w14:paraId="5696D9E8" w14:textId="2729C9DC" w:rsidR="00202BBA" w:rsidRPr="00A53689" w:rsidRDefault="00202BBA" w:rsidP="001A66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0931CD40" w14:textId="569BB8EF" w:rsidR="001A66A9" w:rsidRPr="00A53689" w:rsidRDefault="001A66A9" w:rsidP="001A66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tbl>
      <w:tblPr>
        <w:tblW w:w="9855" w:type="dxa"/>
        <w:tblLayout w:type="fixed"/>
        <w:tblCellMar>
          <w:left w:w="0" w:type="dxa"/>
          <w:right w:w="0" w:type="dxa"/>
        </w:tblCellMar>
        <w:tblLook w:val="04A0" w:firstRow="1" w:lastRow="0" w:firstColumn="1" w:lastColumn="0" w:noHBand="0" w:noVBand="1"/>
      </w:tblPr>
      <w:tblGrid>
        <w:gridCol w:w="1971"/>
        <w:gridCol w:w="1971"/>
        <w:gridCol w:w="1971"/>
        <w:gridCol w:w="1971"/>
        <w:gridCol w:w="1971"/>
      </w:tblGrid>
      <w:tr w:rsidR="001A66A9" w:rsidRPr="00A53689" w14:paraId="2B0B01D3" w14:textId="77777777" w:rsidTr="002602D3">
        <w:trPr>
          <w:tblHeader/>
        </w:trPr>
        <w:tc>
          <w:tcPr>
            <w:tcW w:w="1971" w:type="dxa"/>
            <w:tcBorders>
              <w:top w:val="single" w:sz="4" w:space="0" w:color="auto"/>
              <w:left w:val="nil"/>
              <w:bottom w:val="single" w:sz="12" w:space="0" w:color="auto"/>
              <w:right w:val="nil"/>
            </w:tcBorders>
            <w:vAlign w:val="bottom"/>
            <w:hideMark/>
          </w:tcPr>
          <w:p w14:paraId="1D25F768" w14:textId="77777777" w:rsidR="001A66A9" w:rsidRPr="00A53689" w:rsidRDefault="001A66A9" w:rsidP="002602D3">
            <w:pPr>
              <w:keepNext/>
              <w:keepLines/>
              <w:spacing w:before="81" w:after="81" w:line="160" w:lineRule="exact"/>
              <w:ind w:right="40"/>
              <w:jc w:val="both"/>
              <w:rPr>
                <w:i/>
                <w:sz w:val="14"/>
                <w:lang w:eastAsia="zh-CN"/>
              </w:rPr>
            </w:pPr>
            <w:r w:rsidRPr="00A53689">
              <w:rPr>
                <w:i/>
                <w:sz w:val="14"/>
                <w:lang w:eastAsia="zh-CN"/>
              </w:rPr>
              <w:t>2018 (actual)</w:t>
            </w:r>
          </w:p>
        </w:tc>
        <w:tc>
          <w:tcPr>
            <w:tcW w:w="1971" w:type="dxa"/>
            <w:tcBorders>
              <w:top w:val="single" w:sz="4" w:space="0" w:color="auto"/>
              <w:left w:val="nil"/>
              <w:bottom w:val="single" w:sz="12" w:space="0" w:color="auto"/>
              <w:right w:val="nil"/>
            </w:tcBorders>
            <w:vAlign w:val="bottom"/>
            <w:hideMark/>
          </w:tcPr>
          <w:p w14:paraId="54910F45" w14:textId="77777777" w:rsidR="001A66A9" w:rsidRPr="00A53689" w:rsidRDefault="001A66A9" w:rsidP="002602D3">
            <w:pPr>
              <w:keepNext/>
              <w:keepLines/>
              <w:spacing w:before="81" w:after="81" w:line="160" w:lineRule="exact"/>
              <w:ind w:left="144" w:right="40"/>
              <w:rPr>
                <w:i/>
                <w:sz w:val="14"/>
                <w:lang w:eastAsia="zh-CN"/>
              </w:rPr>
            </w:pPr>
            <w:r w:rsidRPr="00A53689">
              <w:rPr>
                <w:i/>
                <w:sz w:val="14"/>
                <w:lang w:eastAsia="zh-CN"/>
              </w:rPr>
              <w:t>2019 (actual)</w:t>
            </w:r>
          </w:p>
        </w:tc>
        <w:tc>
          <w:tcPr>
            <w:tcW w:w="1971" w:type="dxa"/>
            <w:tcBorders>
              <w:top w:val="single" w:sz="4" w:space="0" w:color="auto"/>
              <w:left w:val="nil"/>
              <w:bottom w:val="single" w:sz="12" w:space="0" w:color="auto"/>
              <w:right w:val="double" w:sz="12" w:space="0" w:color="auto"/>
            </w:tcBorders>
            <w:vAlign w:val="bottom"/>
            <w:hideMark/>
          </w:tcPr>
          <w:p w14:paraId="5C03B6A3" w14:textId="77777777" w:rsidR="001A66A9" w:rsidRPr="00A53689" w:rsidRDefault="001A66A9" w:rsidP="002602D3">
            <w:pPr>
              <w:keepNext/>
              <w:keepLines/>
              <w:spacing w:before="81" w:after="81" w:line="160" w:lineRule="exact"/>
              <w:ind w:left="144" w:right="40"/>
              <w:rPr>
                <w:i/>
                <w:sz w:val="14"/>
                <w:lang w:eastAsia="zh-CN"/>
              </w:rPr>
            </w:pPr>
            <w:r w:rsidRPr="00A53689">
              <w:rPr>
                <w:i/>
                <w:sz w:val="14"/>
                <w:lang w:eastAsia="zh-CN"/>
              </w:rPr>
              <w:t>2020 (actual)</w:t>
            </w:r>
          </w:p>
        </w:tc>
        <w:tc>
          <w:tcPr>
            <w:tcW w:w="1971" w:type="dxa"/>
            <w:tcBorders>
              <w:top w:val="single" w:sz="4" w:space="0" w:color="auto"/>
              <w:left w:val="double" w:sz="12" w:space="0" w:color="auto"/>
              <w:bottom w:val="single" w:sz="12" w:space="0" w:color="auto"/>
              <w:right w:val="nil"/>
            </w:tcBorders>
            <w:vAlign w:val="bottom"/>
            <w:hideMark/>
          </w:tcPr>
          <w:p w14:paraId="15826CA0" w14:textId="77777777" w:rsidR="001A66A9" w:rsidRPr="00A53689" w:rsidRDefault="001A66A9" w:rsidP="002602D3">
            <w:pPr>
              <w:keepNext/>
              <w:keepLines/>
              <w:spacing w:before="81" w:after="81" w:line="160" w:lineRule="exact"/>
              <w:ind w:left="144" w:right="40"/>
              <w:rPr>
                <w:i/>
                <w:sz w:val="14"/>
                <w:vertAlign w:val="superscript"/>
                <w:lang w:eastAsia="zh-CN"/>
              </w:rPr>
            </w:pPr>
            <w:r w:rsidRPr="00A53689">
              <w:rPr>
                <w:i/>
                <w:sz w:val="14"/>
                <w:lang w:eastAsia="zh-CN"/>
              </w:rPr>
              <w:t>2021 (planned)</w:t>
            </w:r>
            <w:bookmarkStart w:id="5" w:name="_Hlk63693847"/>
            <w:r w:rsidRPr="00A53689">
              <w:rPr>
                <w:i/>
                <w:sz w:val="14"/>
                <w:vertAlign w:val="superscript"/>
                <w:lang w:eastAsia="zh-CN"/>
              </w:rPr>
              <w:t>a</w:t>
            </w:r>
            <w:bookmarkEnd w:id="5"/>
          </w:p>
        </w:tc>
        <w:tc>
          <w:tcPr>
            <w:tcW w:w="1971" w:type="dxa"/>
            <w:tcBorders>
              <w:top w:val="single" w:sz="4" w:space="0" w:color="auto"/>
              <w:left w:val="nil"/>
              <w:bottom w:val="single" w:sz="12" w:space="0" w:color="auto"/>
              <w:right w:val="nil"/>
            </w:tcBorders>
            <w:vAlign w:val="bottom"/>
            <w:hideMark/>
          </w:tcPr>
          <w:p w14:paraId="478DEEB2" w14:textId="77777777" w:rsidR="001A66A9" w:rsidRPr="00A53689" w:rsidRDefault="001A66A9" w:rsidP="002602D3">
            <w:pPr>
              <w:keepNext/>
              <w:keepLines/>
              <w:spacing w:before="81" w:after="81" w:line="160" w:lineRule="exact"/>
              <w:ind w:left="144" w:right="40"/>
              <w:rPr>
                <w:b/>
                <w:bCs/>
                <w:i/>
                <w:sz w:val="14"/>
                <w:lang w:eastAsia="zh-CN"/>
              </w:rPr>
            </w:pPr>
            <w:r w:rsidRPr="00A53689">
              <w:rPr>
                <w:i/>
                <w:sz w:val="14"/>
                <w:lang w:eastAsia="zh-CN"/>
              </w:rPr>
              <w:t>2022 (planned)</w:t>
            </w:r>
          </w:p>
        </w:tc>
      </w:tr>
      <w:tr w:rsidR="001A66A9" w:rsidRPr="00A53689" w14:paraId="6AD4CBE2" w14:textId="77777777" w:rsidTr="002602D3">
        <w:trPr>
          <w:trHeight w:hRule="exact" w:val="115"/>
          <w:tblHeader/>
        </w:trPr>
        <w:tc>
          <w:tcPr>
            <w:tcW w:w="1971" w:type="dxa"/>
            <w:tcBorders>
              <w:top w:val="single" w:sz="12" w:space="0" w:color="auto"/>
              <w:left w:val="nil"/>
              <w:bottom w:val="nil"/>
              <w:right w:val="nil"/>
            </w:tcBorders>
            <w:vAlign w:val="bottom"/>
          </w:tcPr>
          <w:p w14:paraId="6051C95A" w14:textId="77777777" w:rsidR="001A66A9" w:rsidRPr="00A53689" w:rsidRDefault="001A66A9" w:rsidP="002602D3">
            <w:pPr>
              <w:keepNext/>
              <w:keepLines/>
              <w:spacing w:before="40" w:after="120"/>
              <w:ind w:right="40"/>
              <w:jc w:val="both"/>
              <w:rPr>
                <w:lang w:eastAsia="zh-CN"/>
              </w:rPr>
            </w:pPr>
          </w:p>
        </w:tc>
        <w:tc>
          <w:tcPr>
            <w:tcW w:w="1971" w:type="dxa"/>
            <w:tcBorders>
              <w:top w:val="single" w:sz="12" w:space="0" w:color="auto"/>
              <w:left w:val="nil"/>
              <w:bottom w:val="nil"/>
              <w:right w:val="nil"/>
            </w:tcBorders>
            <w:vAlign w:val="bottom"/>
          </w:tcPr>
          <w:p w14:paraId="3CA66966" w14:textId="77777777" w:rsidR="001A66A9" w:rsidRPr="00A53689" w:rsidRDefault="001A66A9" w:rsidP="002602D3">
            <w:pPr>
              <w:keepNext/>
              <w:keepLines/>
              <w:spacing w:before="40" w:after="120"/>
              <w:ind w:left="144" w:right="40"/>
              <w:rPr>
                <w:lang w:eastAsia="zh-CN"/>
              </w:rPr>
            </w:pPr>
          </w:p>
        </w:tc>
        <w:tc>
          <w:tcPr>
            <w:tcW w:w="1971" w:type="dxa"/>
            <w:tcBorders>
              <w:top w:val="single" w:sz="12" w:space="0" w:color="auto"/>
              <w:left w:val="nil"/>
              <w:bottom w:val="nil"/>
              <w:right w:val="double" w:sz="12" w:space="0" w:color="auto"/>
            </w:tcBorders>
            <w:vAlign w:val="bottom"/>
          </w:tcPr>
          <w:p w14:paraId="57263084" w14:textId="77777777" w:rsidR="001A66A9" w:rsidRPr="00A53689" w:rsidRDefault="001A66A9" w:rsidP="002602D3">
            <w:pPr>
              <w:keepNext/>
              <w:keepLines/>
              <w:spacing w:before="40" w:after="120"/>
              <w:ind w:left="144" w:right="40"/>
              <w:rPr>
                <w:lang w:eastAsia="zh-CN"/>
              </w:rPr>
            </w:pPr>
          </w:p>
        </w:tc>
        <w:tc>
          <w:tcPr>
            <w:tcW w:w="1971" w:type="dxa"/>
            <w:tcBorders>
              <w:top w:val="single" w:sz="12" w:space="0" w:color="auto"/>
              <w:left w:val="double" w:sz="12" w:space="0" w:color="auto"/>
              <w:bottom w:val="nil"/>
              <w:right w:val="nil"/>
            </w:tcBorders>
            <w:vAlign w:val="bottom"/>
          </w:tcPr>
          <w:p w14:paraId="6F201636" w14:textId="77777777" w:rsidR="001A66A9" w:rsidRPr="00A53689" w:rsidRDefault="001A66A9" w:rsidP="002602D3">
            <w:pPr>
              <w:keepNext/>
              <w:keepLines/>
              <w:spacing w:before="40" w:after="120"/>
              <w:ind w:left="144" w:right="40"/>
              <w:rPr>
                <w:lang w:eastAsia="zh-CN"/>
              </w:rPr>
            </w:pPr>
          </w:p>
        </w:tc>
        <w:tc>
          <w:tcPr>
            <w:tcW w:w="1971" w:type="dxa"/>
            <w:tcBorders>
              <w:top w:val="single" w:sz="12" w:space="0" w:color="auto"/>
              <w:left w:val="nil"/>
              <w:bottom w:val="nil"/>
              <w:right w:val="nil"/>
            </w:tcBorders>
            <w:vAlign w:val="bottom"/>
          </w:tcPr>
          <w:p w14:paraId="3D0102CA" w14:textId="77777777" w:rsidR="001A66A9" w:rsidRPr="00A53689" w:rsidRDefault="001A66A9" w:rsidP="002602D3">
            <w:pPr>
              <w:keepNext/>
              <w:keepLines/>
              <w:spacing w:before="40" w:after="120"/>
              <w:ind w:left="144" w:right="40"/>
              <w:rPr>
                <w:b/>
                <w:bCs/>
                <w:lang w:eastAsia="zh-CN"/>
              </w:rPr>
            </w:pPr>
          </w:p>
        </w:tc>
      </w:tr>
      <w:tr w:rsidR="001A66A9" w:rsidRPr="00A53689" w14:paraId="255F3CAB" w14:textId="77777777" w:rsidTr="002602D3">
        <w:tc>
          <w:tcPr>
            <w:tcW w:w="1971" w:type="dxa"/>
            <w:tcBorders>
              <w:top w:val="nil"/>
              <w:left w:val="nil"/>
              <w:bottom w:val="single" w:sz="12" w:space="0" w:color="auto"/>
              <w:right w:val="nil"/>
            </w:tcBorders>
          </w:tcPr>
          <w:p w14:paraId="009E8867" w14:textId="2346C181" w:rsidR="001A66A9" w:rsidRPr="00A53689" w:rsidRDefault="001A66A9" w:rsidP="002602D3">
            <w:pPr>
              <w:keepNext/>
              <w:keepLines/>
              <w:tabs>
                <w:tab w:val="left" w:pos="288"/>
                <w:tab w:val="left" w:pos="576"/>
                <w:tab w:val="left" w:pos="864"/>
                <w:tab w:val="left" w:pos="1152"/>
              </w:tabs>
              <w:spacing w:before="40" w:after="120" w:line="234" w:lineRule="exact"/>
              <w:ind w:right="43"/>
              <w:rPr>
                <w:lang w:eastAsia="zh-CN"/>
              </w:rPr>
            </w:pPr>
            <w:r w:rsidRPr="00A53689">
              <w:rPr>
                <w:lang w:val="en-US"/>
              </w:rPr>
              <w:t>Two institutions involved in land administration in the Arab States implementing inclusive and gender-appropriate land tools and approaches</w:t>
            </w:r>
          </w:p>
        </w:tc>
        <w:tc>
          <w:tcPr>
            <w:tcW w:w="1971" w:type="dxa"/>
            <w:tcBorders>
              <w:top w:val="nil"/>
              <w:left w:val="nil"/>
              <w:bottom w:val="single" w:sz="12" w:space="0" w:color="auto"/>
              <w:right w:val="nil"/>
            </w:tcBorders>
          </w:tcPr>
          <w:p w14:paraId="5CE38F17" w14:textId="2E5A9788" w:rsidR="001A66A9" w:rsidRPr="00A53689" w:rsidRDefault="001A66A9" w:rsidP="002602D3">
            <w:pPr>
              <w:keepNext/>
              <w:keepLines/>
              <w:tabs>
                <w:tab w:val="left" w:pos="288"/>
                <w:tab w:val="left" w:pos="576"/>
                <w:tab w:val="left" w:pos="864"/>
                <w:tab w:val="left" w:pos="1152"/>
              </w:tabs>
              <w:spacing w:before="40" w:after="120" w:line="234" w:lineRule="exact"/>
              <w:ind w:left="144" w:right="43"/>
              <w:rPr>
                <w:lang w:eastAsia="zh-CN"/>
              </w:rPr>
            </w:pPr>
            <w:r w:rsidRPr="00A53689">
              <w:rPr>
                <w:lang w:val="en-US"/>
              </w:rPr>
              <w:t>Four institutions involved in land administration in the Arab States implementing inclusive and gender-appropriate land tools and approaches</w:t>
            </w:r>
          </w:p>
        </w:tc>
        <w:tc>
          <w:tcPr>
            <w:tcW w:w="1971" w:type="dxa"/>
            <w:tcBorders>
              <w:top w:val="nil"/>
              <w:left w:val="nil"/>
              <w:bottom w:val="single" w:sz="12" w:space="0" w:color="auto"/>
              <w:right w:val="double" w:sz="12" w:space="0" w:color="auto"/>
            </w:tcBorders>
          </w:tcPr>
          <w:p w14:paraId="20F53DA0" w14:textId="5769E7FC" w:rsidR="001A66A9" w:rsidRPr="00A53689" w:rsidRDefault="001A66A9" w:rsidP="002602D3">
            <w:pPr>
              <w:keepNext/>
              <w:keepLines/>
              <w:tabs>
                <w:tab w:val="left" w:pos="288"/>
                <w:tab w:val="left" w:pos="576"/>
                <w:tab w:val="left" w:pos="864"/>
                <w:tab w:val="left" w:pos="1152"/>
              </w:tabs>
              <w:spacing w:before="40" w:after="120" w:line="234" w:lineRule="exact"/>
              <w:ind w:left="144" w:right="43"/>
            </w:pPr>
            <w:r w:rsidRPr="00A53689">
              <w:rPr>
                <w:lang w:val="en-US"/>
              </w:rPr>
              <w:t>Eight institutions involved in land administration in the Arab States implementing inclusive and gender-appropriate land tools and approaches</w:t>
            </w:r>
          </w:p>
        </w:tc>
        <w:tc>
          <w:tcPr>
            <w:tcW w:w="1971" w:type="dxa"/>
            <w:tcBorders>
              <w:top w:val="nil"/>
              <w:left w:val="double" w:sz="12" w:space="0" w:color="auto"/>
              <w:bottom w:val="single" w:sz="12" w:space="0" w:color="auto"/>
              <w:right w:val="nil"/>
            </w:tcBorders>
          </w:tcPr>
          <w:p w14:paraId="7B49E103" w14:textId="0EA446BA" w:rsidR="001A66A9" w:rsidRPr="00A53689" w:rsidRDefault="001A66A9" w:rsidP="002602D3">
            <w:pPr>
              <w:keepNext/>
              <w:keepLines/>
              <w:tabs>
                <w:tab w:val="left" w:pos="288"/>
                <w:tab w:val="left" w:pos="576"/>
                <w:tab w:val="left" w:pos="864"/>
                <w:tab w:val="left" w:pos="1152"/>
              </w:tabs>
              <w:spacing w:before="40" w:after="120" w:line="234" w:lineRule="exact"/>
              <w:ind w:left="144" w:right="43"/>
              <w:rPr>
                <w:lang w:eastAsia="zh-CN"/>
              </w:rPr>
            </w:pPr>
            <w:r w:rsidRPr="00A53689">
              <w:rPr>
                <w:lang w:val="en-US"/>
              </w:rPr>
              <w:t>Eight institutions involved in land administration in the Arab States implementing inclusive and gender-appropriate land tools and approaches</w:t>
            </w:r>
          </w:p>
        </w:tc>
        <w:tc>
          <w:tcPr>
            <w:tcW w:w="1971" w:type="dxa"/>
            <w:tcBorders>
              <w:top w:val="nil"/>
              <w:left w:val="nil"/>
              <w:bottom w:val="single" w:sz="12" w:space="0" w:color="auto"/>
              <w:right w:val="nil"/>
            </w:tcBorders>
          </w:tcPr>
          <w:p w14:paraId="5C4A31A4" w14:textId="1CACB04D" w:rsidR="001A66A9" w:rsidRPr="00A53689" w:rsidRDefault="001A66A9" w:rsidP="002602D3">
            <w:pPr>
              <w:keepNext/>
              <w:keepLines/>
              <w:tabs>
                <w:tab w:val="left" w:pos="288"/>
                <w:tab w:val="left" w:pos="576"/>
                <w:tab w:val="left" w:pos="864"/>
                <w:tab w:val="left" w:pos="1152"/>
              </w:tabs>
              <w:spacing w:before="40" w:after="120" w:line="234" w:lineRule="exact"/>
              <w:ind w:left="144" w:right="43"/>
              <w:rPr>
                <w:b/>
                <w:bCs/>
                <w:lang w:eastAsia="zh-CN"/>
              </w:rPr>
            </w:pPr>
            <w:r w:rsidRPr="00A53689">
              <w:rPr>
                <w:lang w:val="en-US"/>
              </w:rPr>
              <w:t>Both men and women in eight cities benefit from more comprehensive institutional support from land sector organizations, leading to the acquisition of stronger tenure security</w:t>
            </w:r>
          </w:p>
        </w:tc>
      </w:tr>
    </w:tbl>
    <w:p w14:paraId="2F129ADE" w14:textId="5C1822B2" w:rsidR="001A66A9" w:rsidRPr="00A53689" w:rsidRDefault="001A66A9" w:rsidP="001A66A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1830F64D" w14:textId="5B874398" w:rsidR="00202BBA" w:rsidRPr="00A53689" w:rsidRDefault="001A66A9" w:rsidP="001A66A9">
      <w:pPr>
        <w:pStyle w:val="FootnoteText"/>
        <w:tabs>
          <w:tab w:val="clear" w:pos="418"/>
          <w:tab w:val="right" w:pos="216"/>
          <w:tab w:val="left" w:pos="288"/>
          <w:tab w:val="right" w:pos="576"/>
          <w:tab w:val="left" w:pos="648"/>
        </w:tabs>
        <w:ind w:left="288" w:hanging="288"/>
        <w:rPr>
          <w:lang w:val="en-US"/>
        </w:rPr>
      </w:pPr>
      <w:r w:rsidRPr="00A53689">
        <w:rPr>
          <w:lang w:val="en-US"/>
        </w:rPr>
        <w:tab/>
      </w:r>
      <w:r w:rsidR="005F2D17" w:rsidRPr="00A53689">
        <w:rPr>
          <w:i/>
          <w:iCs/>
          <w:vertAlign w:val="superscript"/>
          <w:lang w:val="en-US"/>
        </w:rPr>
        <w:t>a</w:t>
      </w:r>
      <w:r w:rsidR="005F2D17" w:rsidRPr="00A53689">
        <w:rPr>
          <w:lang w:val="en-US"/>
        </w:rPr>
        <w:tab/>
      </w:r>
      <w:r w:rsidRPr="00A53689">
        <w:rPr>
          <w:lang w:val="en-US"/>
        </w:rPr>
        <w:tab/>
      </w:r>
      <w:r w:rsidR="00202BBA" w:rsidRPr="00A53689">
        <w:rPr>
          <w:lang w:val="en-US"/>
        </w:rPr>
        <w:t>To maintain accountability for initial programme plans, the 2021 target is carried forward from the programme budget for 2021 and reflects best estimates at that point in time before the COVID-19 pandemic. Programme performance for 2021 will be reported in the proposed programme budget for 2023.</w:t>
      </w:r>
    </w:p>
    <w:p w14:paraId="29659921" w14:textId="47AAEB7B" w:rsidR="00202BBA" w:rsidRPr="00A53689" w:rsidRDefault="00202BBA" w:rsidP="003735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0318B490" w14:textId="65D3BAD9" w:rsidR="00373502" w:rsidRPr="00A53689" w:rsidRDefault="00373502" w:rsidP="0037350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24266690" w14:textId="49AFDC16" w:rsidR="00202BBA" w:rsidRPr="00A53689" w:rsidRDefault="00373502" w:rsidP="00373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ab/>
      </w:r>
      <w:r w:rsidRPr="00A53689">
        <w:tab/>
      </w:r>
      <w:r w:rsidR="00202BBA" w:rsidRPr="00A53689">
        <w:t>Result 2: inclusive, vibrant neighbourhoods and communities</w:t>
      </w:r>
      <w:r w:rsidRPr="00A53689">
        <w:rPr>
          <w:rStyle w:val="FootnoteReference"/>
          <w:b w:val="0"/>
          <w:bCs/>
        </w:rPr>
        <w:footnoteReference w:id="3"/>
      </w:r>
    </w:p>
    <w:p w14:paraId="7A9B0D1C" w14:textId="2952D233" w:rsidR="00373502" w:rsidRPr="00A53689" w:rsidRDefault="00373502" w:rsidP="00373502">
      <w:pPr>
        <w:pStyle w:val="SingleTxt"/>
        <w:spacing w:after="0" w:line="120" w:lineRule="exact"/>
        <w:rPr>
          <w:b/>
          <w:sz w:val="10"/>
          <w:lang w:val="en-US"/>
        </w:rPr>
      </w:pPr>
    </w:p>
    <w:p w14:paraId="70396825" w14:textId="4C79F225" w:rsidR="00202BBA" w:rsidRPr="00A53689" w:rsidRDefault="00373502" w:rsidP="00373502">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ab/>
      </w:r>
      <w:r w:rsidRPr="00A53689">
        <w:tab/>
      </w:r>
      <w:r w:rsidR="00202BBA" w:rsidRPr="00A53689">
        <w:t>Programme performance in 2020</w:t>
      </w:r>
    </w:p>
    <w:p w14:paraId="7D4B44A3" w14:textId="4B952131" w:rsidR="00373502" w:rsidRPr="00A53689" w:rsidRDefault="00373502" w:rsidP="00373502">
      <w:pPr>
        <w:pStyle w:val="SingleTxt"/>
        <w:spacing w:after="0" w:line="120" w:lineRule="exact"/>
        <w:rPr>
          <w:sz w:val="10"/>
          <w:lang w:val="en-US"/>
        </w:rPr>
      </w:pPr>
    </w:p>
    <w:p w14:paraId="655D385E" w14:textId="02998B38" w:rsidR="00202BBA" w:rsidRPr="00A53689" w:rsidRDefault="00373502"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15.46</w:t>
      </w:r>
      <w:r w:rsidR="00202BBA" w:rsidRPr="00A53689">
        <w:rPr>
          <w:lang w:val="en-US"/>
        </w:rPr>
        <w:tab/>
        <w:t>The subprogramme created new partnerships, established legal agreements and mobilized resources to start the development of comprehensive guidelines and tools to support Member States in the areas of spatial inequality reduction, urban regeneration, participatory planning and socioeconomic recovery. Furthermore, the subprogramme acted as an umbrella programme to provide technical assistance to ongoing urban regeneration and socioeconomic projects in Asia, Africa, the Arab States and Latin America and the Caribbean.</w:t>
      </w:r>
    </w:p>
    <w:p w14:paraId="444861C3" w14:textId="5138F9B0" w:rsidR="00202BBA" w:rsidRPr="00A53689" w:rsidRDefault="00373502"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lastRenderedPageBreak/>
        <w:tab/>
      </w:r>
      <w:r w:rsidR="00202BBA" w:rsidRPr="00A53689">
        <w:rPr>
          <w:lang w:val="en-US"/>
        </w:rPr>
        <w:t>15.47</w:t>
      </w:r>
      <w:r w:rsidR="00202BBA" w:rsidRPr="00A53689">
        <w:rPr>
          <w:lang w:val="en-US"/>
        </w:rPr>
        <w:tab/>
        <w:t>The above-mentioned work contributed to the adoption of urban regeneration policies by 8 cities, which did not meet the planned target of 15 cities reflected in the proposed programme budget for 2021. Several more cities seeking support could not be assisted. The reprioritization of local governments in their efforts to respond to the COVID-19 pandemic caused a delay in the roll-out of activities and the establishment of partnerships of the subprogramme. Also, the lack of specific extrabudgetary funding for the subprogramme made the implementation dependent on successful resource mobilization from national and local governments on a case-by-case basis.</w:t>
      </w:r>
    </w:p>
    <w:p w14:paraId="11CFC0FD" w14:textId="6A2B5A89" w:rsidR="006F0EAC" w:rsidRPr="00A53689" w:rsidRDefault="006F0EAC" w:rsidP="006F0E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251C25E9" w14:textId="12803197" w:rsidR="00202BBA" w:rsidRPr="00A53689" w:rsidRDefault="006F0EAC" w:rsidP="006F0EA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ab/>
      </w:r>
      <w:r w:rsidRPr="00A53689">
        <w:tab/>
      </w:r>
      <w:r w:rsidR="00202BBA" w:rsidRPr="00A53689">
        <w:t>Proposed programme plan for 2022</w:t>
      </w:r>
    </w:p>
    <w:p w14:paraId="5AFB2992" w14:textId="7076BD53" w:rsidR="006F0EAC" w:rsidRPr="00A53689" w:rsidRDefault="006F0EAC" w:rsidP="006F0EAC">
      <w:pPr>
        <w:pStyle w:val="SingleTxt"/>
        <w:spacing w:after="0" w:line="120" w:lineRule="exact"/>
        <w:rPr>
          <w:sz w:val="10"/>
          <w:lang w:val="en-US"/>
        </w:rPr>
      </w:pPr>
    </w:p>
    <w:p w14:paraId="43E7114B" w14:textId="4B51664B" w:rsidR="00202BBA" w:rsidRPr="00A53689" w:rsidRDefault="006F0EAC"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15.48</w:t>
      </w:r>
      <w:r w:rsidR="00202BBA" w:rsidRPr="00A53689">
        <w:rPr>
          <w:lang w:val="en-US"/>
        </w:rPr>
        <w:tab/>
        <w:t>The subprogramme will continue the work related to the planned result, in line with its mandate. To contribute to further progress towards the objective, the subprogramme will expand the number of governments and cities supported as part of this result, develop normative outputs related to urban regeneration and socioeconomic recovery and mobilize additional resources from a larger pool of stakeholders to develop concrete urban regeneration projects based on the normative knowledge and lessons developed from the expertise of UN-Habitat. It is expected that socioeconomic recovery after the COVID-19 pandemic could result in an increased uptake of urban regeneration activities to increase local resilience and improve overall local socioeconomic conditions. The expected progress is presented in the performance measure below (see figure 15.II).</w:t>
      </w:r>
    </w:p>
    <w:p w14:paraId="128F4630" w14:textId="0CCE3ABE" w:rsidR="00202BBA" w:rsidRPr="00A53689" w:rsidRDefault="00202BBA" w:rsidP="006F0EA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1D844E0C" w14:textId="77777777" w:rsidR="00202BBA" w:rsidRPr="00A53689" w:rsidRDefault="00202BBA" w:rsidP="006F0EA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40" w:hanging="1267"/>
        <w:rPr>
          <w:b w:val="0"/>
          <w:bCs/>
        </w:rPr>
      </w:pPr>
      <w:r w:rsidRPr="00A53689">
        <w:rPr>
          <w:b w:val="0"/>
          <w:bCs/>
        </w:rPr>
        <w:t>Figure 15.II</w:t>
      </w:r>
    </w:p>
    <w:p w14:paraId="77B2D515" w14:textId="79C25307" w:rsidR="00202BBA" w:rsidRPr="00A53689" w:rsidRDefault="00202BBA" w:rsidP="00570B35">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
      </w:pPr>
      <w:r w:rsidRPr="00A53689">
        <w:t>Performance measure: total number of cities adopting urban regeneration policies with support from the United Nations Human Settlements Programme (cumulative)</w:t>
      </w:r>
    </w:p>
    <w:p w14:paraId="2EF821D7" w14:textId="4EFF7D4F" w:rsidR="006F0EAC" w:rsidRPr="00A53689" w:rsidRDefault="006F0EAC" w:rsidP="006F0EAC">
      <w:pPr>
        <w:pStyle w:val="SingleTxt"/>
        <w:keepNext/>
        <w:keepLines/>
        <w:spacing w:after="0" w:line="120" w:lineRule="exact"/>
        <w:rPr>
          <w:sz w:val="10"/>
          <w:lang w:val="en-US"/>
        </w:rPr>
      </w:pPr>
    </w:p>
    <w:p w14:paraId="57AD54F8" w14:textId="3A772155" w:rsidR="006F0EAC" w:rsidRPr="00A53689" w:rsidRDefault="003F219A" w:rsidP="006F0EAC">
      <w:pPr>
        <w:pStyle w:val="SingleTxt"/>
        <w:keepNext/>
        <w:keepLines/>
        <w:spacing w:after="0" w:line="120" w:lineRule="exact"/>
        <w:rPr>
          <w:sz w:val="10"/>
          <w:lang w:val="en-US"/>
        </w:rPr>
      </w:pPr>
      <w:r>
        <w:rPr>
          <w:noProof/>
          <w:lang w:val="en-US"/>
        </w:rPr>
        <w:drawing>
          <wp:anchor distT="0" distB="0" distL="114300" distR="114300" simplePos="0" relativeHeight="251667456" behindDoc="0" locked="0" layoutInCell="1" allowOverlap="1" wp14:anchorId="54AF1535" wp14:editId="0746875C">
            <wp:simplePos x="0" y="0"/>
            <wp:positionH relativeFrom="margin">
              <wp:align>right</wp:align>
            </wp:positionH>
            <wp:positionV relativeFrom="paragraph">
              <wp:posOffset>77470</wp:posOffset>
            </wp:positionV>
            <wp:extent cx="6255385" cy="1901190"/>
            <wp:effectExtent l="0" t="0" r="0" b="381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55385" cy="1901190"/>
                    </a:xfrm>
                    <a:prstGeom prst="rect">
                      <a:avLst/>
                    </a:prstGeom>
                    <a:noFill/>
                  </pic:spPr>
                </pic:pic>
              </a:graphicData>
            </a:graphic>
            <wp14:sizeRelH relativeFrom="page">
              <wp14:pctWidth>0</wp14:pctWidth>
            </wp14:sizeRelH>
            <wp14:sizeRelV relativeFrom="page">
              <wp14:pctHeight>0</wp14:pctHeight>
            </wp14:sizeRelV>
          </wp:anchor>
        </w:drawing>
      </w:r>
    </w:p>
    <w:p w14:paraId="0B807179" w14:textId="77777777" w:rsidR="00D91828" w:rsidRPr="00A53689" w:rsidRDefault="00D91828" w:rsidP="00D91828">
      <w:pPr>
        <w:pStyle w:val="SingleTxt"/>
        <w:spacing w:after="0" w:line="120" w:lineRule="exact"/>
        <w:rPr>
          <w:sz w:val="10"/>
          <w:lang w:val="en-US"/>
        </w:rPr>
      </w:pPr>
    </w:p>
    <w:p w14:paraId="5C6A770E" w14:textId="24067942" w:rsidR="00202BBA" w:rsidRPr="00A53689" w:rsidRDefault="00D91828" w:rsidP="00D91828">
      <w:pPr>
        <w:pStyle w:val="FootnoteText"/>
        <w:tabs>
          <w:tab w:val="clear" w:pos="418"/>
          <w:tab w:val="right" w:pos="216"/>
          <w:tab w:val="left" w:pos="288"/>
          <w:tab w:val="right" w:pos="576"/>
          <w:tab w:val="left" w:pos="648"/>
        </w:tabs>
        <w:ind w:left="288" w:hanging="288"/>
        <w:rPr>
          <w:lang w:val="en-US"/>
        </w:rPr>
      </w:pPr>
      <w:r w:rsidRPr="00A53689">
        <w:rPr>
          <w:lang w:val="en-US"/>
        </w:rPr>
        <w:tab/>
      </w:r>
      <w:r w:rsidR="005F2D17" w:rsidRPr="00A53689">
        <w:rPr>
          <w:i/>
          <w:iCs/>
          <w:vertAlign w:val="superscript"/>
          <w:lang w:val="en-US"/>
        </w:rPr>
        <w:t>a</w:t>
      </w:r>
      <w:r w:rsidR="005F2D17" w:rsidRPr="00A53689">
        <w:rPr>
          <w:lang w:val="en-US"/>
        </w:rPr>
        <w:tab/>
      </w:r>
      <w:r w:rsidRPr="00A53689">
        <w:rPr>
          <w:lang w:val="en-US"/>
        </w:rPr>
        <w:tab/>
      </w:r>
      <w:r w:rsidR="00202BBA" w:rsidRPr="00A53689">
        <w:rPr>
          <w:lang w:val="en-US"/>
        </w:rPr>
        <w:t>To maintain accountability for initial programme plans, the 2021 target is carried forward from the proposed programme budget for 2021 and reflects best estimates at that point in time before the COVID-19 pandemic. Programme performance for 2021 will be reported in the proposed programme budget for 2023.</w:t>
      </w:r>
    </w:p>
    <w:p w14:paraId="7B664899" w14:textId="78D19E49" w:rsidR="00202BBA" w:rsidRPr="00A53689" w:rsidRDefault="00202BBA" w:rsidP="00D918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1CB2600E" w14:textId="021BA8D2" w:rsidR="00D91828" w:rsidRPr="00A53689" w:rsidRDefault="00D91828" w:rsidP="00D91828">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67B4D62E" w14:textId="630A5405" w:rsidR="00202BBA" w:rsidRPr="00A53689" w:rsidRDefault="00D91828" w:rsidP="00570B35">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0" w:hanging="1267"/>
      </w:pPr>
      <w:r w:rsidRPr="00A53689">
        <w:tab/>
      </w:r>
      <w:r w:rsidRPr="00A53689">
        <w:tab/>
      </w:r>
      <w:r w:rsidR="00202BBA" w:rsidRPr="00A53689">
        <w:t>Result 3: increased access to basic services, sustainable mobility and slum upgrading programmes to strengthen community resilience to pandemics such as COVID-19 in slums and informal settlements</w:t>
      </w:r>
    </w:p>
    <w:p w14:paraId="1E462A8C" w14:textId="04DAF177" w:rsidR="00D91828" w:rsidRPr="00A53689" w:rsidRDefault="00D91828" w:rsidP="00D91828">
      <w:pPr>
        <w:pStyle w:val="SingleTxt"/>
        <w:spacing w:after="0" w:line="120" w:lineRule="exact"/>
        <w:rPr>
          <w:sz w:val="10"/>
          <w:lang w:val="en-US"/>
        </w:rPr>
      </w:pPr>
    </w:p>
    <w:p w14:paraId="1F899128" w14:textId="472B87BE" w:rsidR="00202BBA" w:rsidRPr="00A53689" w:rsidRDefault="00D91828" w:rsidP="00D9182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A53689">
        <w:tab/>
      </w:r>
      <w:r w:rsidRPr="00A53689">
        <w:tab/>
      </w:r>
      <w:r w:rsidR="00202BBA" w:rsidRPr="00A53689">
        <w:t>Proposed programme plan for 2022</w:t>
      </w:r>
    </w:p>
    <w:p w14:paraId="6C034CC7" w14:textId="55A55671" w:rsidR="00D91828" w:rsidRPr="00A53689" w:rsidRDefault="00D91828" w:rsidP="00D91828">
      <w:pPr>
        <w:pStyle w:val="SingleTxt"/>
        <w:spacing w:after="0" w:line="120" w:lineRule="exact"/>
        <w:rPr>
          <w:sz w:val="10"/>
          <w:lang w:val="en-US"/>
        </w:rPr>
      </w:pPr>
    </w:p>
    <w:p w14:paraId="7B927B54" w14:textId="4A233057" w:rsidR="00202BBA" w:rsidRPr="00A53689" w:rsidRDefault="00D91828"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15.49</w:t>
      </w:r>
      <w:r w:rsidR="00202BBA" w:rsidRPr="00A53689">
        <w:rPr>
          <w:lang w:val="en-US"/>
        </w:rPr>
        <w:tab/>
        <w:t>Increasing access to water, sanitation, mobility, waste management and energy services for the 700 million urban dwellers currently unserved will play a key role in making cities and human settlements inclusive, safe, resilient and sustainable, as envisioned in Sustainable Development Goal 11. The COVID-19 pandemic highlighted the essential role of basic services in strengthening community preparedness, response and recovery in slums and informal settlements, where the lack of such services makes simple public health interventions such as the regular washing of hands extremely difficult. By 2020, the subprogramme had supported Member States in increasing access for 2.7 million people in slums and informal settlements in 39 countries, strengthening community resilience to pandemics such as COVID-19.</w:t>
      </w:r>
    </w:p>
    <w:p w14:paraId="3D923084" w14:textId="48563A1C" w:rsidR="00202BBA" w:rsidRPr="00A53689" w:rsidRDefault="00D91828" w:rsidP="00D91828">
      <w:pPr>
        <w:pStyle w:val="H4"/>
        <w:ind w:right="1260"/>
        <w:rPr>
          <w:lang w:val="en-US"/>
        </w:rPr>
      </w:pPr>
      <w:r w:rsidRPr="00A53689">
        <w:rPr>
          <w:lang w:val="en-US"/>
        </w:rPr>
        <w:lastRenderedPageBreak/>
        <w:tab/>
      </w:r>
      <w:r w:rsidRPr="00A53689">
        <w:rPr>
          <w:lang w:val="en-US"/>
        </w:rPr>
        <w:tab/>
      </w:r>
      <w:r w:rsidR="00202BBA" w:rsidRPr="00A53689">
        <w:rPr>
          <w:lang w:val="en-US"/>
        </w:rPr>
        <w:t>Lessons learned and planned change</w:t>
      </w:r>
    </w:p>
    <w:p w14:paraId="2F000F54" w14:textId="3058C41C" w:rsidR="00D91828" w:rsidRPr="00A53689" w:rsidRDefault="00D91828" w:rsidP="00D91828">
      <w:pPr>
        <w:pStyle w:val="SingleTxt"/>
        <w:spacing w:after="0" w:line="120" w:lineRule="exact"/>
        <w:rPr>
          <w:sz w:val="10"/>
          <w:lang w:val="en-US"/>
        </w:rPr>
      </w:pPr>
    </w:p>
    <w:p w14:paraId="2C5BFA1E" w14:textId="32ABC1EB" w:rsidR="00202BBA" w:rsidRPr="00A53689" w:rsidRDefault="00D91828"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15.50</w:t>
      </w:r>
      <w:r w:rsidR="00202BBA" w:rsidRPr="00A53689">
        <w:rPr>
          <w:lang w:val="en-US"/>
        </w:rPr>
        <w:tab/>
        <w:t xml:space="preserve">The lesson for the subprogramme was the need to focus more on the development, field testing and dissemination of slum upgrading and urban basic services-related tools and technical guidelines that may be used by various actors and players to implement slum upgrading and basic services programmes. There was also a need for continuous monitoring, learning and documentation of the subprogramme outcomes and impacts. In applying the lesson, the subprogramme will strengthen global advocacy, networking and preparation of tools and technical guidelines on slum upgrading and urban basic services. In 2022, the subprogramme plans to support slum upgrading and urban basic services projects to promote a healthy living environment. Assessments will be undertaken in selected cities to highlight inequities in access to water and sanitation, energy, mobility and solid waste management services. Importance will be given to extending adequate water, sanitation, clean energy, public transport and waste management services in slums and informal settlements. The focus of the work will be on those left behind, including the needs of women, youth and other persons in vulnerable situations, such as the elderly and people with disabilities, highlighting for example, the principles of inclusive design to ensure access to basic services. Focus will also be on strengthening governance and building the capacity of local governments and service providers for effective delivery of urban basic services. </w:t>
      </w:r>
    </w:p>
    <w:p w14:paraId="5F971349" w14:textId="4CD0E885" w:rsidR="00202BBA" w:rsidRPr="00A53689" w:rsidRDefault="00202BBA" w:rsidP="003C6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41CBAED0" w14:textId="3F75DA42" w:rsidR="00202BBA" w:rsidRPr="00A53689" w:rsidRDefault="00202BBA" w:rsidP="003C6D13">
      <w:pPr>
        <w:pStyle w:val="H4"/>
        <w:ind w:right="1260"/>
        <w:rPr>
          <w:lang w:val="en-US"/>
        </w:rPr>
      </w:pPr>
      <w:r w:rsidRPr="00A53689">
        <w:rPr>
          <w:lang w:val="en-US"/>
        </w:rPr>
        <w:tab/>
      </w:r>
      <w:r w:rsidRPr="00A53689">
        <w:rPr>
          <w:lang w:val="en-US"/>
        </w:rPr>
        <w:tab/>
        <w:t>Expected progress towards the attainment of the objective, and performance measure</w:t>
      </w:r>
    </w:p>
    <w:p w14:paraId="2742E9E6" w14:textId="4D13E0D0" w:rsidR="003C6D13" w:rsidRPr="00A53689" w:rsidRDefault="003C6D13" w:rsidP="003C6D13">
      <w:pPr>
        <w:pStyle w:val="SingleTxt"/>
        <w:spacing w:after="0" w:line="120" w:lineRule="exact"/>
        <w:rPr>
          <w:sz w:val="10"/>
          <w:lang w:val="en-US"/>
        </w:rPr>
      </w:pPr>
    </w:p>
    <w:p w14:paraId="3DFE2C7E" w14:textId="568D72AA" w:rsidR="00202BBA" w:rsidRPr="00A53689" w:rsidRDefault="003C6D13"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15.51</w:t>
      </w:r>
      <w:r w:rsidR="00202BBA" w:rsidRPr="00A53689">
        <w:rPr>
          <w:lang w:val="en-US"/>
        </w:rPr>
        <w:tab/>
        <w:t>This work is expected to contribute to the objective, as demonstrated by 3.1 million people in slums and informal settlements in 45 countries having access to basic services, strengthening community resilience to pandemics such as COVID-19 (see figure 15.III).</w:t>
      </w:r>
    </w:p>
    <w:p w14:paraId="5AFDA9D3" w14:textId="0B74B92E" w:rsidR="00202BBA" w:rsidRPr="00A53689" w:rsidRDefault="00202BBA" w:rsidP="003C6D1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5068EB81" w14:textId="77777777" w:rsidR="00202BBA" w:rsidRPr="00A53689" w:rsidRDefault="00202BBA" w:rsidP="0029701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A53689">
        <w:rPr>
          <w:b w:val="0"/>
          <w:bCs/>
        </w:rPr>
        <w:t>Figure 15.III</w:t>
      </w:r>
    </w:p>
    <w:p w14:paraId="641F8442" w14:textId="77777777" w:rsidR="00202BBA" w:rsidRPr="00A53689" w:rsidRDefault="00202BBA" w:rsidP="0029701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50"/>
      </w:pPr>
      <w:r w:rsidRPr="00A53689">
        <w:t>Performance measure: total number of people in slums and informal settlements in 45 countries with access to basic services (cumulative)</w:t>
      </w:r>
    </w:p>
    <w:p w14:paraId="2821D45C" w14:textId="648D08F3" w:rsidR="00202BBA" w:rsidRPr="00A53689" w:rsidRDefault="00202BBA" w:rsidP="0029701C">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rsidRPr="00A53689">
        <w:rPr>
          <w:b w:val="0"/>
          <w:bCs/>
          <w:sz w:val="14"/>
          <w:szCs w:val="14"/>
        </w:rPr>
        <w:t>(Millions)</w:t>
      </w:r>
    </w:p>
    <w:p w14:paraId="119D2EAB" w14:textId="5614082C" w:rsidR="003C6D13" w:rsidRPr="00A53689" w:rsidRDefault="003C6D13" w:rsidP="0029701C">
      <w:pPr>
        <w:pStyle w:val="SingleTxt"/>
        <w:keepNext/>
        <w:keepLines/>
        <w:spacing w:after="0" w:line="120" w:lineRule="exact"/>
        <w:rPr>
          <w:sz w:val="10"/>
          <w:lang w:val="en-US"/>
        </w:rPr>
      </w:pPr>
    </w:p>
    <w:p w14:paraId="598A66B6" w14:textId="013A32F1" w:rsidR="003C6D13" w:rsidRPr="00A53689" w:rsidRDefault="003F219A" w:rsidP="0029701C">
      <w:pPr>
        <w:pStyle w:val="SingleTxt"/>
        <w:keepNext/>
        <w:keepLines/>
        <w:spacing w:after="0" w:line="120" w:lineRule="exact"/>
        <w:rPr>
          <w:sz w:val="10"/>
          <w:lang w:val="en-US"/>
        </w:rPr>
      </w:pPr>
      <w:r>
        <w:rPr>
          <w:noProof/>
          <w:sz w:val="10"/>
          <w:lang w:val="en-US"/>
        </w:rPr>
        <w:drawing>
          <wp:anchor distT="0" distB="0" distL="114300" distR="114300" simplePos="0" relativeHeight="251669504" behindDoc="0" locked="0" layoutInCell="1" allowOverlap="1" wp14:anchorId="43F51BBB" wp14:editId="30C106B7">
            <wp:simplePos x="0" y="0"/>
            <wp:positionH relativeFrom="margin">
              <wp:align>right</wp:align>
            </wp:positionH>
            <wp:positionV relativeFrom="paragraph">
              <wp:posOffset>81677</wp:posOffset>
            </wp:positionV>
            <wp:extent cx="6254750" cy="1706880"/>
            <wp:effectExtent l="0" t="0" r="0" b="762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254750" cy="1706880"/>
                    </a:xfrm>
                    <a:prstGeom prst="rect">
                      <a:avLst/>
                    </a:prstGeom>
                    <a:noFill/>
                  </pic:spPr>
                </pic:pic>
              </a:graphicData>
            </a:graphic>
          </wp:anchor>
        </w:drawing>
      </w:r>
    </w:p>
    <w:p w14:paraId="0D4C2692" w14:textId="3D9DACA1" w:rsidR="00202BBA" w:rsidRPr="00A53689" w:rsidRDefault="00202BBA" w:rsidP="003645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64F47534" w14:textId="11412821" w:rsidR="00364582" w:rsidRPr="00A53689" w:rsidRDefault="00364582" w:rsidP="003645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0BAD4478" w14:textId="11287834" w:rsidR="00364582" w:rsidRPr="00A53689" w:rsidRDefault="00364582" w:rsidP="003645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3D706A28" w14:textId="16F3F031" w:rsidR="00202BBA" w:rsidRPr="00A53689" w:rsidRDefault="00364582" w:rsidP="00364582">
      <w:pPr>
        <w:pStyle w:val="H1"/>
        <w:ind w:right="1260"/>
        <w:rPr>
          <w:lang w:val="en-US"/>
        </w:rPr>
      </w:pPr>
      <w:r w:rsidRPr="00A53689">
        <w:rPr>
          <w:lang w:val="en-US"/>
        </w:rPr>
        <w:tab/>
      </w:r>
      <w:r w:rsidRPr="00A53689">
        <w:rPr>
          <w:lang w:val="en-US"/>
        </w:rPr>
        <w:tab/>
      </w:r>
      <w:r w:rsidR="00202BBA" w:rsidRPr="00A53689">
        <w:rPr>
          <w:lang w:val="en-US"/>
        </w:rPr>
        <w:t>Legislative mandates</w:t>
      </w:r>
    </w:p>
    <w:p w14:paraId="1CA56670" w14:textId="27523E6D" w:rsidR="00202BBA" w:rsidRPr="00A53689" w:rsidRDefault="00202BBA" w:rsidP="003645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19319F09" w14:textId="1FAEE208" w:rsidR="00364582" w:rsidRPr="00A53689" w:rsidRDefault="00364582" w:rsidP="003645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6D62387D" w14:textId="11E08DC9" w:rsidR="00202BBA" w:rsidRPr="00A53689" w:rsidRDefault="00364582" w:rsidP="00202BB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lang w:val="en-US"/>
        </w:rPr>
      </w:pPr>
      <w:r w:rsidRPr="00A53689">
        <w:rPr>
          <w:lang w:val="en-US"/>
        </w:rPr>
        <w:tab/>
      </w:r>
      <w:r w:rsidR="00202BBA" w:rsidRPr="00A53689">
        <w:rPr>
          <w:lang w:val="en-US"/>
        </w:rPr>
        <w:t>15.52</w:t>
      </w:r>
      <w:r w:rsidR="00202BBA" w:rsidRPr="00A53689">
        <w:rPr>
          <w:lang w:val="en-US"/>
        </w:rPr>
        <w:tab/>
        <w:t>The list below provides all mandates entrusted to the subprogramme.</w:t>
      </w:r>
    </w:p>
    <w:p w14:paraId="6EAC0C9E" w14:textId="596CF6DE" w:rsidR="00364582" w:rsidRPr="00A53689" w:rsidRDefault="00364582" w:rsidP="003645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44478B06" w14:textId="0524C3DA" w:rsidR="00364582" w:rsidRPr="00A53689" w:rsidRDefault="00364582" w:rsidP="00364582">
      <w:pPr>
        <w:pStyle w:val="H4"/>
        <w:ind w:right="1260"/>
        <w:rPr>
          <w:lang w:val="en-US"/>
        </w:rPr>
      </w:pPr>
      <w:r w:rsidRPr="00A53689">
        <w:rPr>
          <w:lang w:val="en-US"/>
        </w:rPr>
        <w:t>General Assembly resolutions</w:t>
      </w:r>
    </w:p>
    <w:p w14:paraId="6E7A379E" w14:textId="61B495CB" w:rsidR="00364582" w:rsidRPr="00A53689" w:rsidRDefault="00364582" w:rsidP="00364582">
      <w:pPr>
        <w:pStyle w:val="SingleTxt"/>
        <w:spacing w:after="0" w:line="120" w:lineRule="exact"/>
        <w:rPr>
          <w:sz w:val="10"/>
          <w:lang w:val="en-US"/>
        </w:rPr>
      </w:pPr>
    </w:p>
    <w:p w14:paraId="558833B6" w14:textId="77777777" w:rsidR="00364582" w:rsidRPr="00A53689" w:rsidRDefault="00364582" w:rsidP="0036458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sectPr w:rsidR="00364582" w:rsidRPr="00A53689" w:rsidSect="00FF15EA">
          <w:endnotePr>
            <w:numFmt w:val="decimal"/>
          </w:endnotePr>
          <w:type w:val="continuous"/>
          <w:pgSz w:w="12240" w:h="15840"/>
          <w:pgMar w:top="1440" w:right="1195" w:bottom="1152" w:left="1195" w:header="432" w:footer="504" w:gutter="0"/>
          <w:cols w:space="720"/>
          <w:noEndnote/>
          <w:docGrid w:linePitch="360"/>
        </w:sectPr>
      </w:pPr>
    </w:p>
    <w:tbl>
      <w:tblPr>
        <w:tblW w:w="5000" w:type="pct"/>
        <w:tblCellMar>
          <w:left w:w="0" w:type="dxa"/>
          <w:right w:w="0" w:type="dxa"/>
        </w:tblCellMar>
        <w:tblLook w:val="0000" w:firstRow="0" w:lastRow="0" w:firstColumn="0" w:lastColumn="0" w:noHBand="0" w:noVBand="0"/>
      </w:tblPr>
      <w:tblGrid>
        <w:gridCol w:w="1260"/>
        <w:gridCol w:w="3545"/>
      </w:tblGrid>
      <w:tr w:rsidR="00364582" w:rsidRPr="00A53689" w14:paraId="207A5F1A" w14:textId="77777777" w:rsidTr="00674BD1">
        <w:tc>
          <w:tcPr>
            <w:tcW w:w="1311" w:type="pct"/>
            <w:shd w:val="clear" w:color="auto" w:fill="auto"/>
          </w:tcPr>
          <w:p w14:paraId="16BC4036" w14:textId="08925106" w:rsidR="00364582" w:rsidRPr="00A53689" w:rsidRDefault="0078207D" w:rsidP="00364582">
            <w:pPr>
              <w:tabs>
                <w:tab w:val="left" w:pos="288"/>
                <w:tab w:val="left" w:pos="576"/>
                <w:tab w:val="left" w:pos="864"/>
                <w:tab w:val="left" w:pos="1152"/>
              </w:tabs>
              <w:spacing w:before="40" w:after="40" w:line="200" w:lineRule="exact"/>
              <w:ind w:right="43"/>
              <w:rPr>
                <w:rStyle w:val="Hyperlink"/>
                <w:sz w:val="17"/>
                <w:szCs w:val="17"/>
              </w:rPr>
            </w:pPr>
            <w:hyperlink r:id="rId48" w:history="1">
              <w:r w:rsidR="00364582" w:rsidRPr="00A53689">
                <w:rPr>
                  <w:rStyle w:val="Hyperlink"/>
                  <w:sz w:val="17"/>
                  <w:szCs w:val="17"/>
                </w:rPr>
                <w:t>42/146</w:t>
              </w:r>
            </w:hyperlink>
          </w:p>
        </w:tc>
        <w:tc>
          <w:tcPr>
            <w:tcW w:w="3689" w:type="pct"/>
            <w:shd w:val="clear" w:color="auto" w:fill="auto"/>
          </w:tcPr>
          <w:p w14:paraId="4EF82398" w14:textId="524A9F1A" w:rsidR="00364582" w:rsidRPr="00A53689" w:rsidRDefault="00364582" w:rsidP="00364582">
            <w:pPr>
              <w:tabs>
                <w:tab w:val="left" w:pos="288"/>
                <w:tab w:val="left" w:pos="576"/>
                <w:tab w:val="left" w:pos="864"/>
                <w:tab w:val="left" w:pos="1152"/>
              </w:tabs>
              <w:spacing w:before="40" w:after="40" w:line="200" w:lineRule="exact"/>
              <w:ind w:left="86" w:right="43"/>
              <w:rPr>
                <w:sz w:val="17"/>
                <w:szCs w:val="17"/>
              </w:rPr>
            </w:pPr>
            <w:r w:rsidRPr="00A53689">
              <w:rPr>
                <w:sz w:val="17"/>
                <w:szCs w:val="17"/>
              </w:rPr>
              <w:t>Realization of the right to adequate housing</w:t>
            </w:r>
          </w:p>
        </w:tc>
      </w:tr>
      <w:tr w:rsidR="00364582" w:rsidRPr="00A53689" w14:paraId="0BBF1EF5" w14:textId="77777777" w:rsidTr="00674BD1">
        <w:tc>
          <w:tcPr>
            <w:tcW w:w="1311" w:type="pct"/>
            <w:shd w:val="clear" w:color="auto" w:fill="auto"/>
          </w:tcPr>
          <w:p w14:paraId="119F3CF8" w14:textId="703AFF89" w:rsidR="00364582" w:rsidRPr="00A53689" w:rsidRDefault="0078207D" w:rsidP="00364582">
            <w:pPr>
              <w:tabs>
                <w:tab w:val="left" w:pos="288"/>
                <w:tab w:val="left" w:pos="576"/>
                <w:tab w:val="left" w:pos="864"/>
                <w:tab w:val="left" w:pos="1152"/>
              </w:tabs>
              <w:spacing w:before="40" w:after="40" w:line="200" w:lineRule="exact"/>
              <w:ind w:right="43"/>
              <w:rPr>
                <w:rStyle w:val="Hyperlink"/>
                <w:sz w:val="17"/>
                <w:szCs w:val="17"/>
              </w:rPr>
            </w:pPr>
            <w:hyperlink r:id="rId49" w:history="1">
              <w:r w:rsidR="00364582" w:rsidRPr="00A53689">
                <w:rPr>
                  <w:rStyle w:val="Hyperlink"/>
                  <w:sz w:val="17"/>
                  <w:szCs w:val="17"/>
                </w:rPr>
                <w:t>67/291</w:t>
              </w:r>
            </w:hyperlink>
          </w:p>
        </w:tc>
        <w:tc>
          <w:tcPr>
            <w:tcW w:w="3689" w:type="pct"/>
            <w:shd w:val="clear" w:color="auto" w:fill="auto"/>
          </w:tcPr>
          <w:p w14:paraId="24F2A560" w14:textId="13C69B77" w:rsidR="00364582" w:rsidRPr="00A53689" w:rsidRDefault="00364582" w:rsidP="00364582">
            <w:pPr>
              <w:tabs>
                <w:tab w:val="left" w:pos="288"/>
                <w:tab w:val="left" w:pos="576"/>
                <w:tab w:val="left" w:pos="864"/>
                <w:tab w:val="left" w:pos="1152"/>
              </w:tabs>
              <w:spacing w:before="40" w:after="40" w:line="200" w:lineRule="exact"/>
              <w:ind w:left="86" w:right="43"/>
              <w:rPr>
                <w:sz w:val="17"/>
                <w:szCs w:val="17"/>
              </w:rPr>
            </w:pPr>
            <w:r w:rsidRPr="00A53689">
              <w:rPr>
                <w:sz w:val="17"/>
                <w:szCs w:val="17"/>
              </w:rPr>
              <w:t>Sanitation for All</w:t>
            </w:r>
          </w:p>
        </w:tc>
      </w:tr>
      <w:tr w:rsidR="00364582" w:rsidRPr="00A53689" w14:paraId="24BB603B" w14:textId="77777777" w:rsidTr="00674BD1">
        <w:tc>
          <w:tcPr>
            <w:tcW w:w="1311" w:type="pct"/>
            <w:shd w:val="clear" w:color="auto" w:fill="auto"/>
          </w:tcPr>
          <w:p w14:paraId="3E1350A1" w14:textId="226A18FE" w:rsidR="00364582" w:rsidRPr="00A53689" w:rsidRDefault="0078207D" w:rsidP="00364582">
            <w:pPr>
              <w:tabs>
                <w:tab w:val="left" w:pos="288"/>
                <w:tab w:val="left" w:pos="576"/>
                <w:tab w:val="left" w:pos="864"/>
                <w:tab w:val="left" w:pos="1152"/>
              </w:tabs>
              <w:spacing w:before="40" w:after="40" w:line="200" w:lineRule="exact"/>
              <w:ind w:right="43"/>
              <w:rPr>
                <w:rStyle w:val="Hyperlink"/>
                <w:sz w:val="17"/>
                <w:szCs w:val="17"/>
              </w:rPr>
            </w:pPr>
            <w:hyperlink r:id="rId50" w:history="1">
              <w:r w:rsidR="00364582" w:rsidRPr="00A53689">
                <w:rPr>
                  <w:rStyle w:val="Hyperlink"/>
                  <w:sz w:val="17"/>
                  <w:szCs w:val="17"/>
                </w:rPr>
                <w:t>69/213</w:t>
              </w:r>
            </w:hyperlink>
          </w:p>
        </w:tc>
        <w:tc>
          <w:tcPr>
            <w:tcW w:w="3689" w:type="pct"/>
            <w:shd w:val="clear" w:color="auto" w:fill="auto"/>
          </w:tcPr>
          <w:p w14:paraId="0609101A" w14:textId="4546D0BD" w:rsidR="00364582" w:rsidRPr="00A53689" w:rsidRDefault="00364582" w:rsidP="00364582">
            <w:pPr>
              <w:tabs>
                <w:tab w:val="left" w:pos="288"/>
                <w:tab w:val="left" w:pos="576"/>
                <w:tab w:val="left" w:pos="864"/>
                <w:tab w:val="left" w:pos="1152"/>
              </w:tabs>
              <w:spacing w:before="40" w:after="40" w:line="200" w:lineRule="exact"/>
              <w:ind w:left="86" w:right="43"/>
              <w:rPr>
                <w:sz w:val="17"/>
                <w:szCs w:val="17"/>
              </w:rPr>
            </w:pPr>
            <w:r w:rsidRPr="00A53689">
              <w:rPr>
                <w:sz w:val="17"/>
                <w:szCs w:val="17"/>
              </w:rPr>
              <w:t>Role of transport and transit corridors in ensuring international cooperation for sustainable development</w:t>
            </w:r>
          </w:p>
        </w:tc>
      </w:tr>
      <w:tr w:rsidR="00364582" w:rsidRPr="00A53689" w14:paraId="03BE50B1" w14:textId="77777777" w:rsidTr="00674BD1">
        <w:tc>
          <w:tcPr>
            <w:tcW w:w="1311" w:type="pct"/>
            <w:shd w:val="clear" w:color="auto" w:fill="auto"/>
          </w:tcPr>
          <w:p w14:paraId="43678668" w14:textId="5B4D833E" w:rsidR="00364582" w:rsidRPr="00A53689" w:rsidRDefault="0078207D" w:rsidP="00364582">
            <w:pPr>
              <w:tabs>
                <w:tab w:val="left" w:pos="288"/>
                <w:tab w:val="left" w:pos="576"/>
                <w:tab w:val="left" w:pos="864"/>
                <w:tab w:val="left" w:pos="1152"/>
              </w:tabs>
              <w:spacing w:before="40" w:after="40" w:line="200" w:lineRule="exact"/>
              <w:ind w:right="43"/>
              <w:rPr>
                <w:rStyle w:val="Hyperlink"/>
                <w:sz w:val="17"/>
                <w:szCs w:val="17"/>
              </w:rPr>
            </w:pPr>
            <w:hyperlink r:id="rId51" w:history="1">
              <w:r w:rsidR="00364582" w:rsidRPr="00A53689">
                <w:rPr>
                  <w:rStyle w:val="Hyperlink"/>
                  <w:sz w:val="17"/>
                  <w:szCs w:val="17"/>
                </w:rPr>
                <w:t>74/299</w:t>
              </w:r>
            </w:hyperlink>
          </w:p>
        </w:tc>
        <w:tc>
          <w:tcPr>
            <w:tcW w:w="3689" w:type="pct"/>
            <w:shd w:val="clear" w:color="auto" w:fill="auto"/>
          </w:tcPr>
          <w:p w14:paraId="759C2EDA" w14:textId="5B061A5D" w:rsidR="00364582" w:rsidRPr="00A53689" w:rsidRDefault="00364582" w:rsidP="00364582">
            <w:pPr>
              <w:tabs>
                <w:tab w:val="left" w:pos="288"/>
                <w:tab w:val="left" w:pos="576"/>
                <w:tab w:val="left" w:pos="864"/>
                <w:tab w:val="left" w:pos="1152"/>
              </w:tabs>
              <w:spacing w:before="40" w:after="40" w:line="200" w:lineRule="exact"/>
              <w:ind w:left="86" w:right="43"/>
              <w:rPr>
                <w:sz w:val="17"/>
                <w:szCs w:val="17"/>
              </w:rPr>
            </w:pPr>
            <w:r w:rsidRPr="00A53689">
              <w:rPr>
                <w:sz w:val="17"/>
                <w:szCs w:val="17"/>
              </w:rPr>
              <w:t>Improving global road safety</w:t>
            </w:r>
          </w:p>
        </w:tc>
      </w:tr>
      <w:tr w:rsidR="00364582" w:rsidRPr="00A53689" w14:paraId="5494F560" w14:textId="77777777" w:rsidTr="00674BD1">
        <w:tc>
          <w:tcPr>
            <w:tcW w:w="1311" w:type="pct"/>
            <w:shd w:val="clear" w:color="auto" w:fill="auto"/>
          </w:tcPr>
          <w:p w14:paraId="372A5491" w14:textId="47B0B97D" w:rsidR="00364582" w:rsidRPr="00A53689" w:rsidRDefault="0078207D" w:rsidP="00364582">
            <w:pPr>
              <w:tabs>
                <w:tab w:val="left" w:pos="288"/>
                <w:tab w:val="left" w:pos="576"/>
                <w:tab w:val="left" w:pos="864"/>
                <w:tab w:val="left" w:pos="1152"/>
              </w:tabs>
              <w:spacing w:before="40" w:after="40" w:line="200" w:lineRule="exact"/>
              <w:ind w:right="43"/>
              <w:rPr>
                <w:rStyle w:val="Hyperlink"/>
                <w:sz w:val="17"/>
                <w:szCs w:val="17"/>
              </w:rPr>
            </w:pPr>
            <w:hyperlink r:id="rId52" w:history="1">
              <w:r w:rsidR="00364582" w:rsidRPr="00A53689">
                <w:rPr>
                  <w:rStyle w:val="Hyperlink"/>
                  <w:sz w:val="17"/>
                  <w:szCs w:val="17"/>
                </w:rPr>
                <w:t>74/141</w:t>
              </w:r>
            </w:hyperlink>
          </w:p>
        </w:tc>
        <w:tc>
          <w:tcPr>
            <w:tcW w:w="3689" w:type="pct"/>
            <w:shd w:val="clear" w:color="auto" w:fill="auto"/>
          </w:tcPr>
          <w:p w14:paraId="6DFB1657" w14:textId="142E3E2D" w:rsidR="00364582" w:rsidRPr="00A53689" w:rsidRDefault="00364582" w:rsidP="00364582">
            <w:pPr>
              <w:tabs>
                <w:tab w:val="left" w:pos="288"/>
                <w:tab w:val="left" w:pos="576"/>
                <w:tab w:val="left" w:pos="864"/>
                <w:tab w:val="left" w:pos="1152"/>
              </w:tabs>
              <w:spacing w:before="40" w:after="40" w:line="200" w:lineRule="exact"/>
              <w:ind w:left="86" w:right="43"/>
              <w:rPr>
                <w:sz w:val="17"/>
                <w:szCs w:val="17"/>
              </w:rPr>
            </w:pPr>
            <w:r w:rsidRPr="00A53689">
              <w:rPr>
                <w:sz w:val="17"/>
                <w:szCs w:val="17"/>
              </w:rPr>
              <w:t>The human rights to safe drinking water and sanitation</w:t>
            </w:r>
          </w:p>
        </w:tc>
      </w:tr>
      <w:tr w:rsidR="00364582" w:rsidRPr="00A53689" w14:paraId="51BE72A7" w14:textId="77777777" w:rsidTr="00674BD1">
        <w:trPr>
          <w:trHeight w:val="80"/>
        </w:trPr>
        <w:tc>
          <w:tcPr>
            <w:tcW w:w="1311" w:type="pct"/>
            <w:shd w:val="clear" w:color="auto" w:fill="auto"/>
          </w:tcPr>
          <w:p w14:paraId="719641C2" w14:textId="61C8D3B0" w:rsidR="00364582" w:rsidRPr="00A53689" w:rsidRDefault="0078207D" w:rsidP="00364582">
            <w:pPr>
              <w:tabs>
                <w:tab w:val="left" w:pos="288"/>
                <w:tab w:val="left" w:pos="576"/>
                <w:tab w:val="left" w:pos="864"/>
                <w:tab w:val="left" w:pos="1152"/>
              </w:tabs>
              <w:spacing w:before="40" w:after="40" w:line="200" w:lineRule="exact"/>
              <w:ind w:right="43"/>
              <w:rPr>
                <w:rStyle w:val="Hyperlink"/>
                <w:sz w:val="17"/>
                <w:szCs w:val="17"/>
              </w:rPr>
            </w:pPr>
            <w:hyperlink r:id="rId53" w:history="1">
              <w:r w:rsidR="00364582" w:rsidRPr="00A53689">
                <w:rPr>
                  <w:rStyle w:val="Hyperlink"/>
                  <w:sz w:val="17"/>
                  <w:szCs w:val="17"/>
                </w:rPr>
                <w:t>74/237</w:t>
              </w:r>
            </w:hyperlink>
          </w:p>
        </w:tc>
        <w:tc>
          <w:tcPr>
            <w:tcW w:w="3689" w:type="pct"/>
            <w:shd w:val="clear" w:color="auto" w:fill="auto"/>
          </w:tcPr>
          <w:p w14:paraId="2C65A02C" w14:textId="4D13F666" w:rsidR="00364582" w:rsidRPr="00A53689" w:rsidRDefault="00364582" w:rsidP="00364582">
            <w:pPr>
              <w:tabs>
                <w:tab w:val="left" w:pos="288"/>
                <w:tab w:val="left" w:pos="576"/>
                <w:tab w:val="left" w:pos="864"/>
                <w:tab w:val="left" w:pos="1152"/>
              </w:tabs>
              <w:spacing w:before="40" w:after="40" w:line="200" w:lineRule="exact"/>
              <w:ind w:left="86" w:right="43"/>
              <w:rPr>
                <w:sz w:val="17"/>
                <w:szCs w:val="17"/>
              </w:rPr>
            </w:pPr>
            <w:r w:rsidRPr="00A53689">
              <w:rPr>
                <w:sz w:val="17"/>
                <w:szCs w:val="17"/>
              </w:rPr>
              <w:t>Eradicating rural poverty to implement the 2030 Agenda for Sustainable Development</w:t>
            </w:r>
          </w:p>
        </w:tc>
      </w:tr>
    </w:tbl>
    <w:p w14:paraId="3EB2A796" w14:textId="0DA182DA" w:rsidR="00364582" w:rsidRPr="00570B35" w:rsidRDefault="00364582" w:rsidP="00570B35">
      <w:pPr>
        <w:pStyle w:val="DualTxt"/>
        <w:spacing w:after="0" w:line="240" w:lineRule="auto"/>
        <w:rPr>
          <w:sz w:val="2"/>
          <w:lang w:val="en-US"/>
        </w:rPr>
      </w:pPr>
    </w:p>
    <w:p w14:paraId="2F6C9799" w14:textId="77777777" w:rsidR="00364582" w:rsidRPr="00A53689" w:rsidRDefault="00364582" w:rsidP="00364582">
      <w:pPr>
        <w:pStyle w:val="DualTxt"/>
        <w:rPr>
          <w:lang w:val="en-US"/>
        </w:rPr>
        <w:sectPr w:rsidR="00364582" w:rsidRPr="00A53689" w:rsidSect="00364582">
          <w:endnotePr>
            <w:numFmt w:val="decimal"/>
          </w:endnotePr>
          <w:type w:val="continuous"/>
          <w:pgSz w:w="12240" w:h="15840"/>
          <w:pgMar w:top="1440" w:right="1195" w:bottom="1152" w:left="1195" w:header="432" w:footer="504" w:gutter="0"/>
          <w:cols w:num="2" w:space="240"/>
          <w:noEndnote/>
          <w:docGrid w:linePitch="360"/>
        </w:sectPr>
      </w:pPr>
    </w:p>
    <w:p w14:paraId="0825A27E" w14:textId="7400A185" w:rsidR="00364582" w:rsidRPr="00A53689" w:rsidRDefault="00364582" w:rsidP="00364582">
      <w:pPr>
        <w:pStyle w:val="SingleTxt"/>
        <w:spacing w:after="0" w:line="120" w:lineRule="exact"/>
        <w:rPr>
          <w:sz w:val="10"/>
          <w:lang w:val="en-US"/>
        </w:rPr>
      </w:pPr>
    </w:p>
    <w:p w14:paraId="022ECCD3" w14:textId="77777777" w:rsidR="003F219A" w:rsidRDefault="003F219A">
      <w:pPr>
        <w:suppressAutoHyphens w:val="0"/>
        <w:spacing w:after="200" w:line="276" w:lineRule="auto"/>
        <w:rPr>
          <w:i/>
          <w:spacing w:val="3"/>
          <w:lang w:val="en-US"/>
        </w:rPr>
      </w:pPr>
      <w:r>
        <w:rPr>
          <w:lang w:val="en-US"/>
        </w:rPr>
        <w:br w:type="page"/>
      </w:r>
    </w:p>
    <w:p w14:paraId="57415C75" w14:textId="58A30CCC" w:rsidR="00364582" w:rsidRPr="00A53689" w:rsidRDefault="00364582" w:rsidP="00364582">
      <w:pPr>
        <w:pStyle w:val="H4"/>
        <w:ind w:right="1260"/>
        <w:rPr>
          <w:lang w:val="en-US"/>
        </w:rPr>
      </w:pPr>
      <w:r w:rsidRPr="00A53689">
        <w:rPr>
          <w:lang w:val="en-US"/>
        </w:rPr>
        <w:lastRenderedPageBreak/>
        <w:t>Governing Council resolutions</w:t>
      </w:r>
    </w:p>
    <w:p w14:paraId="47EC1D41" w14:textId="482B1669" w:rsidR="00364582" w:rsidRPr="00A53689" w:rsidRDefault="00364582" w:rsidP="00364582">
      <w:pPr>
        <w:pStyle w:val="SingleTxt"/>
        <w:spacing w:after="0" w:line="120" w:lineRule="exact"/>
        <w:rPr>
          <w:sz w:val="10"/>
          <w:lang w:val="en-US"/>
        </w:rPr>
      </w:pPr>
    </w:p>
    <w:p w14:paraId="4C487854" w14:textId="77777777" w:rsidR="00313CD7" w:rsidRPr="00A53689" w:rsidRDefault="00313CD7" w:rsidP="00364582">
      <w:pPr>
        <w:pStyle w:val="SingleTxt"/>
        <w:spacing w:after="0" w:line="120" w:lineRule="exact"/>
        <w:rPr>
          <w:sz w:val="10"/>
          <w:lang w:val="en-US"/>
        </w:rPr>
        <w:sectPr w:rsidR="00313CD7" w:rsidRPr="00A53689" w:rsidSect="00364582">
          <w:endnotePr>
            <w:numFmt w:val="decimal"/>
          </w:endnotePr>
          <w:type w:val="continuous"/>
          <w:pgSz w:w="12240" w:h="15840"/>
          <w:pgMar w:top="1440" w:right="1195" w:bottom="1152" w:left="1195" w:header="432" w:footer="504"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3545"/>
      </w:tblGrid>
      <w:tr w:rsidR="00313CD7" w:rsidRPr="00A53689" w14:paraId="2EDE8BBA" w14:textId="77777777" w:rsidTr="00674BD1">
        <w:tc>
          <w:tcPr>
            <w:tcW w:w="1311" w:type="pct"/>
          </w:tcPr>
          <w:p w14:paraId="3E86D018" w14:textId="6D35EBA7" w:rsidR="00313CD7" w:rsidRPr="00A53689" w:rsidRDefault="00313CD7" w:rsidP="00313CD7">
            <w:pPr>
              <w:tabs>
                <w:tab w:val="left" w:pos="288"/>
                <w:tab w:val="left" w:pos="576"/>
                <w:tab w:val="left" w:pos="864"/>
                <w:tab w:val="left" w:pos="1152"/>
              </w:tabs>
              <w:spacing w:before="40" w:after="40" w:line="200" w:lineRule="exact"/>
              <w:ind w:right="43"/>
              <w:rPr>
                <w:rFonts w:eastAsiaTheme="minorHAnsi"/>
                <w:sz w:val="17"/>
                <w:szCs w:val="17"/>
                <w:lang w:val="en-GB"/>
              </w:rPr>
            </w:pPr>
            <w:r w:rsidRPr="0029701C">
              <w:rPr>
                <w:rFonts w:eastAsiaTheme="minorHAnsi"/>
                <w:sz w:val="17"/>
                <w:szCs w:val="17"/>
                <w:lang w:val="en-GB"/>
              </w:rPr>
              <w:t>21/8</w:t>
            </w:r>
          </w:p>
        </w:tc>
        <w:tc>
          <w:tcPr>
            <w:tcW w:w="3689" w:type="pct"/>
          </w:tcPr>
          <w:p w14:paraId="54E9F811" w14:textId="6A46F736" w:rsidR="00313CD7" w:rsidRPr="00A53689" w:rsidRDefault="00313CD7" w:rsidP="00313CD7">
            <w:pPr>
              <w:tabs>
                <w:tab w:val="left" w:pos="288"/>
                <w:tab w:val="left" w:pos="576"/>
                <w:tab w:val="left" w:pos="864"/>
                <w:tab w:val="left" w:pos="1152"/>
              </w:tabs>
              <w:spacing w:before="40" w:after="40" w:line="200" w:lineRule="exact"/>
              <w:ind w:left="86" w:right="43"/>
              <w:rPr>
                <w:rFonts w:eastAsiaTheme="minorHAnsi"/>
                <w:sz w:val="17"/>
                <w:szCs w:val="17"/>
                <w:lang w:val="en-GB"/>
              </w:rPr>
            </w:pPr>
            <w:r w:rsidRPr="00A53689">
              <w:rPr>
                <w:rFonts w:eastAsiaTheme="minorHAnsi"/>
                <w:sz w:val="17"/>
                <w:szCs w:val="17"/>
                <w:lang w:val="en-GB"/>
              </w:rPr>
              <w:t>Africa fund/financing mechanism on slum prevention and upgrading</w:t>
            </w:r>
          </w:p>
        </w:tc>
      </w:tr>
      <w:tr w:rsidR="00313CD7" w:rsidRPr="00A53689" w14:paraId="7BD226C8" w14:textId="77777777" w:rsidTr="00674BD1">
        <w:tc>
          <w:tcPr>
            <w:tcW w:w="1311" w:type="pct"/>
          </w:tcPr>
          <w:p w14:paraId="2AA33976" w14:textId="7E4F9DFF" w:rsidR="00313CD7" w:rsidRPr="00A53689" w:rsidRDefault="00313CD7" w:rsidP="00313CD7">
            <w:pPr>
              <w:tabs>
                <w:tab w:val="left" w:pos="288"/>
                <w:tab w:val="left" w:pos="576"/>
                <w:tab w:val="left" w:pos="864"/>
                <w:tab w:val="left" w:pos="1152"/>
              </w:tabs>
              <w:spacing w:before="40" w:after="40" w:line="200" w:lineRule="exact"/>
              <w:ind w:right="43"/>
              <w:rPr>
                <w:rFonts w:eastAsiaTheme="minorHAnsi"/>
                <w:sz w:val="17"/>
                <w:szCs w:val="17"/>
                <w:lang w:val="en-GB"/>
              </w:rPr>
            </w:pPr>
            <w:r w:rsidRPr="0029701C">
              <w:rPr>
                <w:rFonts w:eastAsiaTheme="minorHAnsi"/>
                <w:sz w:val="17"/>
                <w:szCs w:val="17"/>
                <w:lang w:val="en-GB"/>
              </w:rPr>
              <w:t>21/9</w:t>
            </w:r>
          </w:p>
        </w:tc>
        <w:tc>
          <w:tcPr>
            <w:tcW w:w="3689" w:type="pct"/>
          </w:tcPr>
          <w:p w14:paraId="52E02401" w14:textId="697D0876" w:rsidR="00313CD7" w:rsidRPr="00A53689" w:rsidRDefault="00313CD7" w:rsidP="00313CD7">
            <w:pPr>
              <w:tabs>
                <w:tab w:val="left" w:pos="288"/>
                <w:tab w:val="left" w:pos="576"/>
                <w:tab w:val="left" w:pos="864"/>
                <w:tab w:val="left" w:pos="1152"/>
              </w:tabs>
              <w:spacing w:before="40" w:after="40" w:line="200" w:lineRule="exact"/>
              <w:ind w:left="86" w:right="43"/>
              <w:rPr>
                <w:rFonts w:eastAsiaTheme="minorHAnsi"/>
                <w:sz w:val="17"/>
                <w:szCs w:val="17"/>
                <w:lang w:val="en-GB"/>
              </w:rPr>
            </w:pPr>
            <w:r w:rsidRPr="00A53689">
              <w:rPr>
                <w:rFonts w:eastAsiaTheme="minorHAnsi"/>
                <w:sz w:val="17"/>
                <w:szCs w:val="17"/>
                <w:lang w:val="en-GB"/>
              </w:rPr>
              <w:t>Women’s land and property rights and access to finance</w:t>
            </w:r>
          </w:p>
        </w:tc>
      </w:tr>
      <w:tr w:rsidR="00313CD7" w:rsidRPr="00A53689" w14:paraId="29DFB2A5" w14:textId="77777777" w:rsidTr="00674BD1">
        <w:tc>
          <w:tcPr>
            <w:tcW w:w="1311" w:type="pct"/>
          </w:tcPr>
          <w:p w14:paraId="4826C07D" w14:textId="2BF21B8B" w:rsidR="00313CD7" w:rsidRPr="00A53689" w:rsidRDefault="00313CD7" w:rsidP="00313CD7">
            <w:pPr>
              <w:tabs>
                <w:tab w:val="left" w:pos="288"/>
                <w:tab w:val="left" w:pos="576"/>
                <w:tab w:val="left" w:pos="864"/>
                <w:tab w:val="left" w:pos="1152"/>
              </w:tabs>
              <w:spacing w:before="40" w:after="40" w:line="200" w:lineRule="exact"/>
              <w:ind w:right="43"/>
              <w:rPr>
                <w:rFonts w:eastAsiaTheme="minorHAnsi"/>
                <w:sz w:val="17"/>
                <w:szCs w:val="17"/>
                <w:lang w:val="en-GB"/>
              </w:rPr>
            </w:pPr>
            <w:r w:rsidRPr="0029701C">
              <w:rPr>
                <w:rFonts w:eastAsiaTheme="minorHAnsi"/>
                <w:sz w:val="17"/>
                <w:szCs w:val="17"/>
                <w:lang w:val="en-GB"/>
              </w:rPr>
              <w:t>21/10</w:t>
            </w:r>
          </w:p>
        </w:tc>
        <w:tc>
          <w:tcPr>
            <w:tcW w:w="3689" w:type="pct"/>
          </w:tcPr>
          <w:p w14:paraId="11B362BD" w14:textId="45C5FF43" w:rsidR="00313CD7" w:rsidRPr="00A53689" w:rsidRDefault="00313CD7" w:rsidP="00313CD7">
            <w:pPr>
              <w:tabs>
                <w:tab w:val="left" w:pos="288"/>
                <w:tab w:val="left" w:pos="576"/>
                <w:tab w:val="left" w:pos="864"/>
                <w:tab w:val="left" w:pos="1152"/>
              </w:tabs>
              <w:spacing w:before="40" w:after="40" w:line="200" w:lineRule="exact"/>
              <w:ind w:left="86" w:right="43"/>
              <w:rPr>
                <w:rFonts w:eastAsiaTheme="minorHAnsi"/>
                <w:sz w:val="17"/>
                <w:szCs w:val="17"/>
                <w:lang w:val="en-GB"/>
              </w:rPr>
            </w:pPr>
            <w:r w:rsidRPr="00A53689">
              <w:rPr>
                <w:rFonts w:eastAsiaTheme="minorHAnsi"/>
                <w:sz w:val="17"/>
                <w:szCs w:val="17"/>
                <w:lang w:val="en-GB"/>
              </w:rPr>
              <w:t>Strengthening the Habitat and Human Settlements Foundation: experimental financial mechanisms for pro-poor housing and infrastructure</w:t>
            </w:r>
          </w:p>
        </w:tc>
      </w:tr>
      <w:tr w:rsidR="00313CD7" w:rsidRPr="00A53689" w14:paraId="2C21165E" w14:textId="77777777" w:rsidTr="00674BD1">
        <w:tc>
          <w:tcPr>
            <w:tcW w:w="1311" w:type="pct"/>
          </w:tcPr>
          <w:p w14:paraId="05D53072" w14:textId="5741DFAB" w:rsidR="00313CD7" w:rsidRPr="00A53689" w:rsidRDefault="00313CD7" w:rsidP="00313CD7">
            <w:pPr>
              <w:tabs>
                <w:tab w:val="left" w:pos="288"/>
                <w:tab w:val="left" w:pos="576"/>
                <w:tab w:val="left" w:pos="864"/>
                <w:tab w:val="left" w:pos="1152"/>
              </w:tabs>
              <w:spacing w:before="40" w:after="40" w:line="200" w:lineRule="exact"/>
              <w:ind w:right="43"/>
              <w:rPr>
                <w:rFonts w:eastAsiaTheme="minorHAnsi"/>
                <w:sz w:val="17"/>
                <w:szCs w:val="17"/>
                <w:lang w:val="en-GB"/>
              </w:rPr>
            </w:pPr>
            <w:r w:rsidRPr="0029701C">
              <w:rPr>
                <w:rFonts w:eastAsiaTheme="minorHAnsi"/>
                <w:sz w:val="17"/>
                <w:szCs w:val="17"/>
                <w:lang w:val="en-GB"/>
              </w:rPr>
              <w:t>23/4</w:t>
            </w:r>
          </w:p>
        </w:tc>
        <w:tc>
          <w:tcPr>
            <w:tcW w:w="3689" w:type="pct"/>
          </w:tcPr>
          <w:p w14:paraId="5EB04A59" w14:textId="04822AB5" w:rsidR="00313CD7" w:rsidRPr="00A53689" w:rsidRDefault="00313CD7" w:rsidP="00313CD7">
            <w:pPr>
              <w:tabs>
                <w:tab w:val="left" w:pos="288"/>
                <w:tab w:val="left" w:pos="576"/>
                <w:tab w:val="left" w:pos="864"/>
                <w:tab w:val="left" w:pos="1152"/>
              </w:tabs>
              <w:spacing w:before="40" w:after="40" w:line="200" w:lineRule="exact"/>
              <w:ind w:left="86" w:right="43"/>
              <w:rPr>
                <w:rFonts w:eastAsiaTheme="minorHAnsi"/>
                <w:sz w:val="17"/>
                <w:szCs w:val="17"/>
                <w:lang w:val="en-GB"/>
              </w:rPr>
            </w:pPr>
            <w:r w:rsidRPr="00A53689">
              <w:rPr>
                <w:rFonts w:eastAsiaTheme="minorHAnsi"/>
                <w:sz w:val="17"/>
                <w:szCs w:val="17"/>
                <w:lang w:val="en-GB"/>
              </w:rPr>
              <w:t>Sustainable urban development through access to quality urban public spaces</w:t>
            </w:r>
          </w:p>
        </w:tc>
      </w:tr>
      <w:tr w:rsidR="00313CD7" w:rsidRPr="00A53689" w14:paraId="4BFA81D0" w14:textId="77777777" w:rsidTr="00674BD1">
        <w:tc>
          <w:tcPr>
            <w:tcW w:w="1311" w:type="pct"/>
          </w:tcPr>
          <w:p w14:paraId="0C63EC6B" w14:textId="33A2305D" w:rsidR="00313CD7" w:rsidRPr="00A53689" w:rsidRDefault="00313CD7" w:rsidP="00313CD7">
            <w:pPr>
              <w:tabs>
                <w:tab w:val="left" w:pos="288"/>
                <w:tab w:val="left" w:pos="576"/>
                <w:tab w:val="left" w:pos="864"/>
                <w:tab w:val="left" w:pos="1152"/>
              </w:tabs>
              <w:spacing w:before="40" w:after="40" w:line="200" w:lineRule="exact"/>
              <w:ind w:right="43"/>
              <w:rPr>
                <w:rFonts w:eastAsiaTheme="minorHAnsi"/>
                <w:sz w:val="17"/>
                <w:szCs w:val="17"/>
                <w:lang w:val="en-GB"/>
              </w:rPr>
            </w:pPr>
            <w:r w:rsidRPr="0029701C">
              <w:rPr>
                <w:rFonts w:eastAsiaTheme="minorHAnsi"/>
                <w:sz w:val="17"/>
                <w:szCs w:val="17"/>
                <w:lang w:val="en-GB"/>
              </w:rPr>
              <w:t>23/8</w:t>
            </w:r>
          </w:p>
        </w:tc>
        <w:tc>
          <w:tcPr>
            <w:tcW w:w="3689" w:type="pct"/>
          </w:tcPr>
          <w:p w14:paraId="7071774C" w14:textId="6C11CD8E" w:rsidR="00313CD7" w:rsidRPr="00A53689" w:rsidRDefault="00313CD7" w:rsidP="00313CD7">
            <w:pPr>
              <w:tabs>
                <w:tab w:val="left" w:pos="288"/>
                <w:tab w:val="left" w:pos="576"/>
                <w:tab w:val="left" w:pos="864"/>
                <w:tab w:val="left" w:pos="1152"/>
              </w:tabs>
              <w:spacing w:before="40" w:after="40" w:line="200" w:lineRule="exact"/>
              <w:ind w:left="86" w:right="43"/>
              <w:rPr>
                <w:rFonts w:eastAsiaTheme="minorHAnsi"/>
                <w:sz w:val="17"/>
                <w:szCs w:val="17"/>
                <w:lang w:val="en-GB"/>
              </w:rPr>
            </w:pPr>
            <w:r w:rsidRPr="00A53689">
              <w:rPr>
                <w:rFonts w:eastAsiaTheme="minorHAnsi"/>
                <w:sz w:val="17"/>
                <w:szCs w:val="17"/>
                <w:lang w:val="en-GB"/>
              </w:rPr>
              <w:t>Third United Nations conference on housing and sustainable urban development</w:t>
            </w:r>
          </w:p>
        </w:tc>
      </w:tr>
      <w:tr w:rsidR="00313CD7" w:rsidRPr="00A53689" w14:paraId="47379731" w14:textId="77777777" w:rsidTr="00674BD1">
        <w:tc>
          <w:tcPr>
            <w:tcW w:w="1311" w:type="pct"/>
          </w:tcPr>
          <w:p w14:paraId="6452F548" w14:textId="01C8EB7A" w:rsidR="00313CD7" w:rsidRPr="00A53689" w:rsidRDefault="00313CD7" w:rsidP="00313CD7">
            <w:pPr>
              <w:tabs>
                <w:tab w:val="left" w:pos="288"/>
                <w:tab w:val="left" w:pos="576"/>
                <w:tab w:val="left" w:pos="864"/>
                <w:tab w:val="left" w:pos="1152"/>
              </w:tabs>
              <w:spacing w:before="40" w:after="40" w:line="200" w:lineRule="exact"/>
              <w:ind w:right="43"/>
              <w:rPr>
                <w:rFonts w:eastAsiaTheme="minorHAnsi"/>
                <w:sz w:val="17"/>
                <w:szCs w:val="17"/>
                <w:lang w:val="en-GB"/>
              </w:rPr>
            </w:pPr>
            <w:r w:rsidRPr="0029701C">
              <w:rPr>
                <w:rFonts w:eastAsiaTheme="minorHAnsi"/>
                <w:sz w:val="17"/>
                <w:szCs w:val="17"/>
                <w:lang w:val="en-GB"/>
              </w:rPr>
              <w:t>23/17</w:t>
            </w:r>
          </w:p>
        </w:tc>
        <w:tc>
          <w:tcPr>
            <w:tcW w:w="3689" w:type="pct"/>
          </w:tcPr>
          <w:p w14:paraId="5D98BA80" w14:textId="360E1231" w:rsidR="00313CD7" w:rsidRPr="00A53689" w:rsidRDefault="00313CD7" w:rsidP="00570B35">
            <w:pPr>
              <w:tabs>
                <w:tab w:val="left" w:pos="288"/>
                <w:tab w:val="left" w:pos="576"/>
                <w:tab w:val="left" w:pos="864"/>
                <w:tab w:val="left" w:pos="1152"/>
              </w:tabs>
              <w:spacing w:before="40" w:after="40" w:line="200" w:lineRule="exact"/>
              <w:ind w:left="86" w:right="43"/>
              <w:rPr>
                <w:sz w:val="17"/>
              </w:rPr>
            </w:pPr>
            <w:r w:rsidRPr="00570B35">
              <w:rPr>
                <w:sz w:val="17"/>
                <w:szCs w:val="17"/>
              </w:rPr>
              <w:t>Sustainable urban development through expanding equitable access to land, housing, basic services and infrastructure</w:t>
            </w:r>
          </w:p>
        </w:tc>
      </w:tr>
      <w:tr w:rsidR="00313CD7" w:rsidRPr="00A53689" w14:paraId="6A070EC8" w14:textId="77777777" w:rsidTr="00674BD1">
        <w:tc>
          <w:tcPr>
            <w:tcW w:w="1311" w:type="pct"/>
          </w:tcPr>
          <w:p w14:paraId="3AB012B6" w14:textId="3D71074D" w:rsidR="00313CD7" w:rsidRPr="00A53689" w:rsidRDefault="00313CD7" w:rsidP="00313CD7">
            <w:pPr>
              <w:tabs>
                <w:tab w:val="left" w:pos="288"/>
                <w:tab w:val="left" w:pos="576"/>
                <w:tab w:val="left" w:pos="864"/>
                <w:tab w:val="left" w:pos="1152"/>
              </w:tabs>
              <w:spacing w:before="40" w:after="40" w:line="200" w:lineRule="exact"/>
              <w:ind w:right="43"/>
              <w:rPr>
                <w:rFonts w:eastAsiaTheme="minorHAnsi"/>
                <w:sz w:val="17"/>
                <w:szCs w:val="17"/>
                <w:lang w:val="en-GB"/>
              </w:rPr>
            </w:pPr>
            <w:r w:rsidRPr="0029701C">
              <w:rPr>
                <w:rFonts w:eastAsiaTheme="minorHAnsi"/>
                <w:sz w:val="17"/>
                <w:szCs w:val="17"/>
                <w:lang w:val="en-GB"/>
              </w:rPr>
              <w:t>24/2</w:t>
            </w:r>
          </w:p>
        </w:tc>
        <w:tc>
          <w:tcPr>
            <w:tcW w:w="3689" w:type="pct"/>
          </w:tcPr>
          <w:p w14:paraId="0FCA96C7" w14:textId="34847CBD" w:rsidR="00313CD7" w:rsidRPr="00A53689" w:rsidRDefault="00313CD7" w:rsidP="00313CD7">
            <w:pPr>
              <w:tabs>
                <w:tab w:val="left" w:pos="288"/>
                <w:tab w:val="left" w:pos="576"/>
                <w:tab w:val="left" w:pos="864"/>
                <w:tab w:val="left" w:pos="1152"/>
              </w:tabs>
              <w:spacing w:before="40" w:after="40" w:line="200" w:lineRule="exact"/>
              <w:ind w:left="86" w:right="43"/>
              <w:rPr>
                <w:rFonts w:eastAsiaTheme="minorHAnsi"/>
                <w:sz w:val="17"/>
                <w:szCs w:val="17"/>
                <w:lang w:val="en-GB"/>
              </w:rPr>
            </w:pPr>
            <w:r w:rsidRPr="00A53689">
              <w:rPr>
                <w:rFonts w:eastAsiaTheme="minorHAnsi"/>
                <w:sz w:val="17"/>
                <w:szCs w:val="17"/>
                <w:lang w:val="en-GB"/>
              </w:rPr>
              <w:t>Strengthening the work of the United Nations Human Settlements Programme on urban basic services</w:t>
            </w:r>
          </w:p>
        </w:tc>
      </w:tr>
      <w:tr w:rsidR="00313CD7" w:rsidRPr="00A53689" w14:paraId="1F734442" w14:textId="77777777" w:rsidTr="00674BD1">
        <w:tc>
          <w:tcPr>
            <w:tcW w:w="1311" w:type="pct"/>
          </w:tcPr>
          <w:p w14:paraId="2BCEFB3B" w14:textId="2271F8D1" w:rsidR="00313CD7" w:rsidRPr="00A53689" w:rsidRDefault="00313CD7" w:rsidP="00313CD7">
            <w:pPr>
              <w:tabs>
                <w:tab w:val="left" w:pos="288"/>
                <w:tab w:val="left" w:pos="576"/>
                <w:tab w:val="left" w:pos="864"/>
                <w:tab w:val="left" w:pos="1152"/>
              </w:tabs>
              <w:spacing w:before="40" w:after="40" w:line="200" w:lineRule="exact"/>
              <w:ind w:right="43"/>
              <w:rPr>
                <w:rFonts w:eastAsiaTheme="minorHAnsi"/>
                <w:sz w:val="17"/>
                <w:szCs w:val="17"/>
                <w:lang w:val="en-GB"/>
              </w:rPr>
            </w:pPr>
            <w:r w:rsidRPr="0029701C">
              <w:rPr>
                <w:rFonts w:eastAsiaTheme="minorHAnsi"/>
                <w:sz w:val="17"/>
                <w:szCs w:val="17"/>
                <w:lang w:val="en-GB"/>
              </w:rPr>
              <w:t>24/9</w:t>
            </w:r>
          </w:p>
        </w:tc>
        <w:tc>
          <w:tcPr>
            <w:tcW w:w="3689" w:type="pct"/>
          </w:tcPr>
          <w:p w14:paraId="3E88C17A" w14:textId="36E94C55" w:rsidR="00313CD7" w:rsidRPr="00A53689" w:rsidRDefault="00313CD7" w:rsidP="00313CD7">
            <w:pPr>
              <w:tabs>
                <w:tab w:val="left" w:pos="288"/>
                <w:tab w:val="left" w:pos="576"/>
                <w:tab w:val="left" w:pos="864"/>
                <w:tab w:val="left" w:pos="1152"/>
              </w:tabs>
              <w:spacing w:before="40" w:after="40" w:line="200" w:lineRule="exact"/>
              <w:ind w:left="86" w:right="43"/>
              <w:rPr>
                <w:rFonts w:eastAsiaTheme="minorHAnsi"/>
                <w:sz w:val="17"/>
                <w:szCs w:val="17"/>
                <w:lang w:val="en-GB"/>
              </w:rPr>
            </w:pPr>
            <w:r w:rsidRPr="00A53689">
              <w:rPr>
                <w:rFonts w:eastAsiaTheme="minorHAnsi"/>
                <w:sz w:val="17"/>
                <w:szCs w:val="17"/>
                <w:lang w:val="en-GB"/>
              </w:rPr>
              <w:t>Inclusive national and local housing strategies to achieve the Global Housing Strategy paradigm shift</w:t>
            </w:r>
          </w:p>
        </w:tc>
      </w:tr>
    </w:tbl>
    <w:p w14:paraId="05214AE1" w14:textId="77777777" w:rsidR="006875B4" w:rsidRPr="00A53689" w:rsidRDefault="006875B4" w:rsidP="006875B4">
      <w:pPr>
        <w:pStyle w:val="DualTxt"/>
        <w:spacing w:after="0" w:line="240" w:lineRule="auto"/>
        <w:rPr>
          <w:sz w:val="2"/>
          <w:lang w:val="en-US"/>
        </w:rPr>
        <w:sectPr w:rsidR="006875B4" w:rsidRPr="00A53689" w:rsidSect="00313CD7">
          <w:endnotePr>
            <w:numFmt w:val="decimal"/>
          </w:endnotePr>
          <w:type w:val="continuous"/>
          <w:pgSz w:w="12240" w:h="15840"/>
          <w:pgMar w:top="1440" w:right="1195" w:bottom="1152" w:left="1195" w:header="432" w:footer="504" w:gutter="0"/>
          <w:cols w:num="2" w:space="240"/>
          <w:noEndnote/>
          <w:docGrid w:linePitch="360"/>
        </w:sectPr>
      </w:pPr>
    </w:p>
    <w:p w14:paraId="660982B1" w14:textId="6942517C" w:rsidR="00364582" w:rsidRPr="00A53689" w:rsidRDefault="00364582" w:rsidP="006875B4">
      <w:pPr>
        <w:pStyle w:val="SingleTxt"/>
        <w:spacing w:after="0" w:line="120" w:lineRule="exact"/>
        <w:rPr>
          <w:sz w:val="10"/>
          <w:lang w:val="en-US"/>
        </w:rPr>
      </w:pPr>
    </w:p>
    <w:p w14:paraId="303CE148" w14:textId="2A9B5BD4" w:rsidR="006875B4" w:rsidRPr="00A53689" w:rsidRDefault="006875B4" w:rsidP="006875B4">
      <w:pPr>
        <w:pStyle w:val="SingleTxt"/>
        <w:spacing w:after="0" w:line="120" w:lineRule="exact"/>
        <w:rPr>
          <w:sz w:val="10"/>
          <w:lang w:val="en-US"/>
        </w:rPr>
      </w:pPr>
    </w:p>
    <w:p w14:paraId="251E913C" w14:textId="20B66DA3" w:rsidR="006875B4" w:rsidRPr="00A53689" w:rsidRDefault="006875B4" w:rsidP="006875B4">
      <w:pPr>
        <w:pStyle w:val="SingleTxt"/>
        <w:spacing w:after="0" w:line="120" w:lineRule="exact"/>
        <w:rPr>
          <w:sz w:val="10"/>
          <w:lang w:val="en-US"/>
        </w:rPr>
      </w:pPr>
    </w:p>
    <w:p w14:paraId="513B852D" w14:textId="21410626" w:rsidR="006875B4" w:rsidRPr="00A53689" w:rsidRDefault="006875B4" w:rsidP="006875B4">
      <w:pPr>
        <w:pStyle w:val="H1"/>
        <w:ind w:right="1260"/>
      </w:pPr>
      <w:r w:rsidRPr="00A53689">
        <w:tab/>
      </w:r>
      <w:r w:rsidRPr="00A53689">
        <w:tab/>
        <w:t>Deliverables</w:t>
      </w:r>
    </w:p>
    <w:p w14:paraId="5695960D" w14:textId="43AA5E0B" w:rsidR="006875B4" w:rsidRPr="00A53689" w:rsidRDefault="006875B4" w:rsidP="006875B4">
      <w:pPr>
        <w:pStyle w:val="SingleTxt"/>
        <w:spacing w:after="0" w:line="120" w:lineRule="exact"/>
        <w:rPr>
          <w:sz w:val="10"/>
        </w:rPr>
      </w:pPr>
    </w:p>
    <w:p w14:paraId="79E6A65B" w14:textId="2088F383" w:rsidR="006875B4" w:rsidRPr="00A53689" w:rsidRDefault="006875B4" w:rsidP="006875B4">
      <w:pPr>
        <w:pStyle w:val="SingleTxt"/>
        <w:spacing w:after="0" w:line="120" w:lineRule="exact"/>
        <w:rPr>
          <w:sz w:val="10"/>
        </w:rPr>
      </w:pPr>
    </w:p>
    <w:p w14:paraId="4D44585C" w14:textId="37B8BA12" w:rsidR="006875B4" w:rsidRPr="00A53689" w:rsidRDefault="006875B4" w:rsidP="006875B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A53689">
        <w:tab/>
        <w:t>15.53</w:t>
      </w:r>
      <w:r w:rsidRPr="00A53689">
        <w:tab/>
        <w:t>Table 15.3 lists all deliverables, by category and subcategory, for the period 2020–2022 that contributed and are expected to contribute to the attainment of the objective stated above.</w:t>
      </w:r>
    </w:p>
    <w:p w14:paraId="1198BA98" w14:textId="78C827CF" w:rsidR="006875B4" w:rsidRPr="0042053A" w:rsidRDefault="006875B4"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lang w:val="en-US"/>
        </w:rPr>
      </w:pPr>
    </w:p>
    <w:p w14:paraId="373100ED"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outlineLvl w:val="9"/>
        <w:rPr>
          <w:color w:val="000000" w:themeColor="text1"/>
          <w:lang w:val="en-GB"/>
        </w:rPr>
      </w:pPr>
      <w:r w:rsidRPr="00B10D24">
        <w:rPr>
          <w:b w:val="0"/>
          <w:color w:val="000000" w:themeColor="text1"/>
          <w:lang w:val="en-GB"/>
        </w:rPr>
        <w:t>Table 15.3</w:t>
      </w:r>
      <w:r w:rsidRPr="00B10D24">
        <w:rPr>
          <w:color w:val="000000" w:themeColor="text1"/>
          <w:lang w:val="en-GB"/>
        </w:rPr>
        <w:t xml:space="preserve"> </w:t>
      </w:r>
    </w:p>
    <w:p w14:paraId="6DFD4D13"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outlineLvl w:val="9"/>
        <w:rPr>
          <w:color w:val="000000" w:themeColor="text1"/>
          <w:lang w:val="en-GB"/>
        </w:rPr>
      </w:pPr>
      <w:r w:rsidRPr="00B10D24">
        <w:rPr>
          <w:color w:val="000000" w:themeColor="text1"/>
          <w:lang w:val="en-GB"/>
        </w:rPr>
        <w:t xml:space="preserve">Subprogramme 1: deliverables for the period 2020–2022, by category and subcategory </w:t>
      </w:r>
    </w:p>
    <w:p w14:paraId="2982CEF6" w14:textId="77777777" w:rsidR="0042053A" w:rsidRPr="00B10D24" w:rsidRDefault="0042053A" w:rsidP="0042053A">
      <w:pPr>
        <w:pStyle w:val="SingleTxt"/>
        <w:spacing w:after="0" w:line="120" w:lineRule="exact"/>
        <w:rPr>
          <w:color w:val="000000" w:themeColor="text1"/>
          <w:sz w:val="10"/>
        </w:rPr>
      </w:pPr>
    </w:p>
    <w:p w14:paraId="1A4A6CFD" w14:textId="77777777" w:rsidR="0042053A" w:rsidRPr="00B10D24" w:rsidRDefault="0042053A" w:rsidP="0042053A">
      <w:pPr>
        <w:pStyle w:val="SingleTxt"/>
        <w:spacing w:after="0" w:line="120" w:lineRule="exact"/>
        <w:rPr>
          <w:color w:val="000000" w:themeColor="text1"/>
          <w:sz w:val="1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74"/>
        <w:gridCol w:w="869"/>
        <w:gridCol w:w="869"/>
        <w:gridCol w:w="869"/>
        <w:gridCol w:w="869"/>
      </w:tblGrid>
      <w:tr w:rsidR="0042053A" w:rsidRPr="00B10D24" w14:paraId="2B86FFE1" w14:textId="77777777" w:rsidTr="00206464">
        <w:trPr>
          <w:tblHeader/>
        </w:trPr>
        <w:tc>
          <w:tcPr>
            <w:tcW w:w="3236" w:type="pct"/>
            <w:tcBorders>
              <w:top w:val="single" w:sz="4" w:space="0" w:color="auto"/>
              <w:bottom w:val="single" w:sz="12" w:space="0" w:color="auto"/>
            </w:tcBorders>
            <w:shd w:val="clear" w:color="auto" w:fill="auto"/>
            <w:vAlign w:val="bottom"/>
          </w:tcPr>
          <w:p w14:paraId="3443F389"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color w:val="000000" w:themeColor="text1"/>
                <w:sz w:val="14"/>
                <w:lang w:val="en-GB"/>
              </w:rPr>
            </w:pPr>
            <w:bookmarkStart w:id="6" w:name="_Hlk70432491"/>
            <w:r w:rsidRPr="00B10D24">
              <w:rPr>
                <w:i/>
                <w:color w:val="000000" w:themeColor="text1"/>
                <w:sz w:val="14"/>
                <w:lang w:val="en-GB"/>
              </w:rPr>
              <w:t>Category and subcategory</w:t>
            </w:r>
          </w:p>
        </w:tc>
        <w:tc>
          <w:tcPr>
            <w:tcW w:w="441" w:type="pct"/>
            <w:tcBorders>
              <w:top w:val="single" w:sz="4" w:space="0" w:color="auto"/>
              <w:bottom w:val="single" w:sz="12" w:space="0" w:color="auto"/>
            </w:tcBorders>
            <w:shd w:val="clear" w:color="auto" w:fill="auto"/>
            <w:vAlign w:val="bottom"/>
          </w:tcPr>
          <w:p w14:paraId="2DE2AF8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color w:val="000000" w:themeColor="text1"/>
                <w:sz w:val="14"/>
                <w:lang w:val="en-GB"/>
              </w:rPr>
            </w:pPr>
            <w:r w:rsidRPr="00B10D24">
              <w:rPr>
                <w:i/>
                <w:color w:val="000000" w:themeColor="text1"/>
                <w:sz w:val="14"/>
                <w:lang w:val="en-GB"/>
              </w:rPr>
              <w:t>2020 planned</w:t>
            </w:r>
          </w:p>
        </w:tc>
        <w:tc>
          <w:tcPr>
            <w:tcW w:w="441" w:type="pct"/>
            <w:tcBorders>
              <w:top w:val="single" w:sz="4" w:space="0" w:color="auto"/>
              <w:bottom w:val="single" w:sz="12" w:space="0" w:color="auto"/>
            </w:tcBorders>
            <w:shd w:val="clear" w:color="auto" w:fill="auto"/>
            <w:vAlign w:val="bottom"/>
          </w:tcPr>
          <w:p w14:paraId="6C73AE7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color w:val="000000" w:themeColor="text1"/>
                <w:sz w:val="14"/>
                <w:szCs w:val="14"/>
                <w:lang w:val="en-GB"/>
              </w:rPr>
            </w:pPr>
            <w:r w:rsidRPr="00B10D24">
              <w:rPr>
                <w:i/>
                <w:iCs/>
                <w:color w:val="000000" w:themeColor="text1"/>
                <w:sz w:val="14"/>
                <w:szCs w:val="14"/>
                <w:lang w:val="en-GB"/>
              </w:rPr>
              <w:t>2020 actual</w:t>
            </w:r>
          </w:p>
        </w:tc>
        <w:tc>
          <w:tcPr>
            <w:tcW w:w="441" w:type="pct"/>
            <w:tcBorders>
              <w:top w:val="single" w:sz="4" w:space="0" w:color="auto"/>
              <w:bottom w:val="single" w:sz="12" w:space="0" w:color="auto"/>
            </w:tcBorders>
            <w:shd w:val="clear" w:color="auto" w:fill="auto"/>
            <w:vAlign w:val="bottom"/>
          </w:tcPr>
          <w:p w14:paraId="2CF8294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color w:val="000000" w:themeColor="text1"/>
                <w:sz w:val="14"/>
                <w:szCs w:val="14"/>
                <w:lang w:val="en-GB"/>
              </w:rPr>
            </w:pPr>
            <w:r w:rsidRPr="00B10D24">
              <w:rPr>
                <w:i/>
                <w:iCs/>
                <w:color w:val="000000" w:themeColor="text1"/>
                <w:sz w:val="14"/>
                <w:szCs w:val="14"/>
                <w:lang w:val="en-GB"/>
              </w:rPr>
              <w:t>2021 planned</w:t>
            </w:r>
          </w:p>
        </w:tc>
        <w:tc>
          <w:tcPr>
            <w:tcW w:w="441" w:type="pct"/>
            <w:tcBorders>
              <w:top w:val="single" w:sz="4" w:space="0" w:color="auto"/>
              <w:bottom w:val="single" w:sz="12" w:space="0" w:color="auto"/>
            </w:tcBorders>
            <w:shd w:val="clear" w:color="auto" w:fill="auto"/>
            <w:vAlign w:val="bottom"/>
          </w:tcPr>
          <w:p w14:paraId="4755396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iCs/>
                <w:color w:val="000000" w:themeColor="text1"/>
                <w:sz w:val="14"/>
                <w:szCs w:val="14"/>
                <w:vertAlign w:val="superscript"/>
                <w:lang w:val="en-GB"/>
              </w:rPr>
            </w:pPr>
            <w:r w:rsidRPr="00B10D24">
              <w:rPr>
                <w:i/>
                <w:iCs/>
                <w:color w:val="000000" w:themeColor="text1"/>
                <w:sz w:val="14"/>
                <w:szCs w:val="14"/>
                <w:lang w:val="en-GB"/>
              </w:rPr>
              <w:t>2022 planned</w:t>
            </w:r>
            <w:r w:rsidRPr="00B10D24">
              <w:rPr>
                <w:i/>
                <w:iCs/>
                <w:color w:val="000000" w:themeColor="text1"/>
                <w:sz w:val="14"/>
                <w:szCs w:val="14"/>
                <w:vertAlign w:val="superscript"/>
                <w:lang w:val="en-GB"/>
              </w:rPr>
              <w:t>a</w:t>
            </w:r>
          </w:p>
        </w:tc>
      </w:tr>
      <w:tr w:rsidR="0042053A" w:rsidRPr="00B10D24" w14:paraId="4BA93A9B" w14:textId="77777777" w:rsidTr="00206464">
        <w:trPr>
          <w:trHeight w:hRule="exact" w:val="115"/>
          <w:tblHeader/>
        </w:trPr>
        <w:tc>
          <w:tcPr>
            <w:tcW w:w="3236" w:type="pct"/>
            <w:tcBorders>
              <w:top w:val="single" w:sz="12" w:space="0" w:color="auto"/>
            </w:tcBorders>
            <w:shd w:val="clear" w:color="auto" w:fill="auto"/>
            <w:vAlign w:val="bottom"/>
          </w:tcPr>
          <w:p w14:paraId="751312B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color w:val="000000" w:themeColor="text1"/>
                <w:sz w:val="17"/>
                <w:lang w:val="en-GB"/>
              </w:rPr>
            </w:pPr>
          </w:p>
        </w:tc>
        <w:tc>
          <w:tcPr>
            <w:tcW w:w="441" w:type="pct"/>
            <w:tcBorders>
              <w:top w:val="single" w:sz="12" w:space="0" w:color="auto"/>
            </w:tcBorders>
            <w:shd w:val="clear" w:color="auto" w:fill="auto"/>
            <w:vAlign w:val="bottom"/>
          </w:tcPr>
          <w:p w14:paraId="77C19DE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color w:val="000000" w:themeColor="text1"/>
                <w:sz w:val="17"/>
                <w:lang w:val="en-GB"/>
              </w:rPr>
            </w:pPr>
          </w:p>
        </w:tc>
        <w:tc>
          <w:tcPr>
            <w:tcW w:w="441" w:type="pct"/>
            <w:tcBorders>
              <w:top w:val="single" w:sz="12" w:space="0" w:color="auto"/>
            </w:tcBorders>
            <w:shd w:val="clear" w:color="auto" w:fill="auto"/>
            <w:vAlign w:val="bottom"/>
          </w:tcPr>
          <w:p w14:paraId="59D322A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color w:val="000000" w:themeColor="text1"/>
                <w:sz w:val="17"/>
                <w:szCs w:val="17"/>
                <w:lang w:val="en-GB"/>
              </w:rPr>
            </w:pPr>
          </w:p>
        </w:tc>
        <w:tc>
          <w:tcPr>
            <w:tcW w:w="441" w:type="pct"/>
            <w:tcBorders>
              <w:top w:val="single" w:sz="12" w:space="0" w:color="auto"/>
            </w:tcBorders>
            <w:shd w:val="clear" w:color="auto" w:fill="auto"/>
            <w:vAlign w:val="bottom"/>
          </w:tcPr>
          <w:p w14:paraId="13E506A9"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color w:val="000000" w:themeColor="text1"/>
                <w:sz w:val="17"/>
                <w:lang w:val="en-GB"/>
              </w:rPr>
            </w:pPr>
          </w:p>
        </w:tc>
        <w:tc>
          <w:tcPr>
            <w:tcW w:w="441" w:type="pct"/>
            <w:tcBorders>
              <w:top w:val="single" w:sz="12" w:space="0" w:color="auto"/>
            </w:tcBorders>
            <w:shd w:val="clear" w:color="auto" w:fill="auto"/>
            <w:vAlign w:val="bottom"/>
          </w:tcPr>
          <w:p w14:paraId="543D386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color w:val="000000" w:themeColor="text1"/>
                <w:sz w:val="17"/>
                <w:lang w:val="en-GB"/>
              </w:rPr>
            </w:pPr>
          </w:p>
        </w:tc>
      </w:tr>
      <w:tr w:rsidR="0042053A" w:rsidRPr="00B10D24" w14:paraId="7133E7DD" w14:textId="77777777" w:rsidTr="00206464">
        <w:tc>
          <w:tcPr>
            <w:tcW w:w="3236" w:type="pct"/>
            <w:shd w:val="clear" w:color="auto" w:fill="auto"/>
            <w:vAlign w:val="bottom"/>
          </w:tcPr>
          <w:p w14:paraId="363A23D3"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color w:val="000000" w:themeColor="text1"/>
                <w:sz w:val="17"/>
                <w:lang w:val="en-GB"/>
              </w:rPr>
            </w:pPr>
            <w:r w:rsidRPr="00B10D24">
              <w:rPr>
                <w:b/>
                <w:bCs/>
                <w:color w:val="000000" w:themeColor="text1"/>
                <w:sz w:val="17"/>
                <w:lang w:val="en-GB"/>
              </w:rPr>
              <w:t>B.</w:t>
            </w:r>
            <w:r w:rsidRPr="00B10D24">
              <w:rPr>
                <w:b/>
                <w:bCs/>
                <w:color w:val="000000" w:themeColor="text1"/>
                <w:sz w:val="17"/>
                <w:lang w:val="en-GB"/>
              </w:rPr>
              <w:tab/>
              <w:t>Generation and transfer of knowledge</w:t>
            </w:r>
          </w:p>
        </w:tc>
        <w:tc>
          <w:tcPr>
            <w:tcW w:w="441" w:type="pct"/>
            <w:shd w:val="clear" w:color="auto" w:fill="auto"/>
            <w:vAlign w:val="bottom"/>
          </w:tcPr>
          <w:p w14:paraId="6F7D357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color w:val="000000" w:themeColor="text1"/>
                <w:sz w:val="17"/>
                <w:lang w:val="en-GB"/>
              </w:rPr>
            </w:pPr>
          </w:p>
        </w:tc>
        <w:tc>
          <w:tcPr>
            <w:tcW w:w="441" w:type="pct"/>
            <w:shd w:val="clear" w:color="auto" w:fill="auto"/>
            <w:vAlign w:val="bottom"/>
          </w:tcPr>
          <w:p w14:paraId="3179BC1A"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color w:val="000000" w:themeColor="text1"/>
                <w:sz w:val="17"/>
                <w:szCs w:val="17"/>
                <w:lang w:val="en-GB"/>
              </w:rPr>
            </w:pPr>
          </w:p>
        </w:tc>
        <w:tc>
          <w:tcPr>
            <w:tcW w:w="441" w:type="pct"/>
            <w:shd w:val="clear" w:color="auto" w:fill="auto"/>
            <w:vAlign w:val="bottom"/>
          </w:tcPr>
          <w:p w14:paraId="2631F43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color w:val="000000" w:themeColor="text1"/>
                <w:sz w:val="17"/>
                <w:lang w:val="en-GB"/>
              </w:rPr>
            </w:pPr>
          </w:p>
        </w:tc>
        <w:tc>
          <w:tcPr>
            <w:tcW w:w="441" w:type="pct"/>
            <w:shd w:val="clear" w:color="auto" w:fill="auto"/>
            <w:vAlign w:val="bottom"/>
          </w:tcPr>
          <w:p w14:paraId="65726906"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color w:val="000000" w:themeColor="text1"/>
                <w:sz w:val="17"/>
                <w:lang w:val="en-GB"/>
              </w:rPr>
            </w:pPr>
          </w:p>
        </w:tc>
      </w:tr>
      <w:tr w:rsidR="0042053A" w:rsidRPr="00B10D24" w14:paraId="23F24BCF" w14:textId="77777777" w:rsidTr="00206464">
        <w:tc>
          <w:tcPr>
            <w:tcW w:w="3236" w:type="pct"/>
            <w:shd w:val="clear" w:color="auto" w:fill="auto"/>
            <w:vAlign w:val="bottom"/>
          </w:tcPr>
          <w:p w14:paraId="6F52FD9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color w:val="000000" w:themeColor="text1"/>
                <w:sz w:val="17"/>
                <w:lang w:val="en-GB"/>
              </w:rPr>
            </w:pPr>
            <w:r w:rsidRPr="00B10D24">
              <w:rPr>
                <w:b/>
                <w:bCs/>
                <w:color w:val="000000" w:themeColor="text1"/>
                <w:sz w:val="17"/>
                <w:lang w:val="en-GB"/>
              </w:rPr>
              <w:tab/>
              <w:t xml:space="preserve">Field and technical cooperation projects </w:t>
            </w:r>
            <w:r w:rsidRPr="00B10D24">
              <w:rPr>
                <w:color w:val="000000" w:themeColor="text1"/>
                <w:sz w:val="17"/>
                <w:lang w:val="en-GB"/>
              </w:rPr>
              <w:t>(number of projects)</w:t>
            </w:r>
          </w:p>
        </w:tc>
        <w:tc>
          <w:tcPr>
            <w:tcW w:w="441" w:type="pct"/>
            <w:shd w:val="clear" w:color="auto" w:fill="auto"/>
            <w:vAlign w:val="bottom"/>
          </w:tcPr>
          <w:p w14:paraId="5DD6C6A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lang w:val="en-GB"/>
              </w:rPr>
            </w:pPr>
            <w:r w:rsidRPr="00B10D24">
              <w:rPr>
                <w:b/>
                <w:bCs/>
                <w:color w:val="000000" w:themeColor="text1"/>
                <w:sz w:val="17"/>
                <w:lang w:val="en-GB"/>
              </w:rPr>
              <w:t>32</w:t>
            </w:r>
          </w:p>
        </w:tc>
        <w:tc>
          <w:tcPr>
            <w:tcW w:w="441" w:type="pct"/>
            <w:shd w:val="clear" w:color="auto" w:fill="auto"/>
            <w:vAlign w:val="bottom"/>
          </w:tcPr>
          <w:p w14:paraId="138F847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szCs w:val="17"/>
                <w:lang w:val="en-GB"/>
              </w:rPr>
            </w:pPr>
            <w:r w:rsidRPr="00B10D24">
              <w:rPr>
                <w:b/>
                <w:bCs/>
                <w:color w:val="000000" w:themeColor="text1"/>
                <w:sz w:val="17"/>
                <w:szCs w:val="17"/>
                <w:lang w:val="en-GB"/>
              </w:rPr>
              <w:t>22</w:t>
            </w:r>
          </w:p>
        </w:tc>
        <w:tc>
          <w:tcPr>
            <w:tcW w:w="441" w:type="pct"/>
            <w:shd w:val="clear" w:color="auto" w:fill="auto"/>
            <w:vAlign w:val="bottom"/>
          </w:tcPr>
          <w:p w14:paraId="03DA22A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lang w:val="en-GB"/>
              </w:rPr>
            </w:pPr>
            <w:r w:rsidRPr="00B10D24">
              <w:rPr>
                <w:b/>
                <w:bCs/>
                <w:color w:val="000000" w:themeColor="text1"/>
                <w:sz w:val="17"/>
                <w:lang w:val="en-GB"/>
              </w:rPr>
              <w:t>50</w:t>
            </w:r>
          </w:p>
        </w:tc>
        <w:tc>
          <w:tcPr>
            <w:tcW w:w="441" w:type="pct"/>
            <w:shd w:val="clear" w:color="auto" w:fill="auto"/>
            <w:vAlign w:val="bottom"/>
          </w:tcPr>
          <w:p w14:paraId="6270FEF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szCs w:val="17"/>
                <w:lang w:val="en-GB"/>
              </w:rPr>
            </w:pPr>
            <w:r w:rsidRPr="00B10D24">
              <w:rPr>
                <w:b/>
                <w:bCs/>
                <w:color w:val="000000" w:themeColor="text1"/>
                <w:sz w:val="17"/>
                <w:szCs w:val="17"/>
                <w:lang w:val="en-GB"/>
              </w:rPr>
              <w:t>36</w:t>
            </w:r>
          </w:p>
        </w:tc>
      </w:tr>
      <w:tr w:rsidR="0042053A" w:rsidRPr="00B10D24" w14:paraId="6CC03472" w14:textId="77777777" w:rsidTr="00206464">
        <w:tc>
          <w:tcPr>
            <w:tcW w:w="3236" w:type="pct"/>
            <w:shd w:val="clear" w:color="auto" w:fill="auto"/>
            <w:vAlign w:val="bottom"/>
          </w:tcPr>
          <w:p w14:paraId="2153044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1.</w:t>
            </w:r>
            <w:r w:rsidRPr="00B10D24">
              <w:rPr>
                <w:color w:val="000000" w:themeColor="text1"/>
                <w:sz w:val="17"/>
                <w:lang w:val="en-GB"/>
              </w:rPr>
              <w:tab/>
              <w:t>Projects on urban basic services: mobility, water and sanitation, energy and solid waste management and safe, inclusive and accessible public space</w:t>
            </w:r>
          </w:p>
        </w:tc>
        <w:tc>
          <w:tcPr>
            <w:tcW w:w="441" w:type="pct"/>
            <w:shd w:val="clear" w:color="auto" w:fill="auto"/>
            <w:vAlign w:val="bottom"/>
          </w:tcPr>
          <w:p w14:paraId="08D763C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13</w:t>
            </w:r>
          </w:p>
        </w:tc>
        <w:tc>
          <w:tcPr>
            <w:tcW w:w="441" w:type="pct"/>
            <w:shd w:val="clear" w:color="auto" w:fill="auto"/>
            <w:vAlign w:val="bottom"/>
          </w:tcPr>
          <w:p w14:paraId="4A1C3A56"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9</w:t>
            </w:r>
          </w:p>
        </w:tc>
        <w:tc>
          <w:tcPr>
            <w:tcW w:w="441" w:type="pct"/>
            <w:shd w:val="clear" w:color="auto" w:fill="auto"/>
            <w:vAlign w:val="bottom"/>
          </w:tcPr>
          <w:p w14:paraId="37F6DC0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15</w:t>
            </w:r>
          </w:p>
        </w:tc>
        <w:tc>
          <w:tcPr>
            <w:tcW w:w="441" w:type="pct"/>
            <w:shd w:val="clear" w:color="auto" w:fill="auto"/>
            <w:vAlign w:val="bottom"/>
          </w:tcPr>
          <w:p w14:paraId="146473EE"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12</w:t>
            </w:r>
          </w:p>
        </w:tc>
      </w:tr>
      <w:tr w:rsidR="0042053A" w:rsidRPr="00B10D24" w14:paraId="65B4BAE5" w14:textId="77777777" w:rsidTr="00206464">
        <w:tc>
          <w:tcPr>
            <w:tcW w:w="3236" w:type="pct"/>
            <w:shd w:val="clear" w:color="auto" w:fill="auto"/>
            <w:vAlign w:val="bottom"/>
          </w:tcPr>
          <w:p w14:paraId="24A8E21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2.</w:t>
            </w:r>
            <w:r w:rsidRPr="00B10D24">
              <w:rPr>
                <w:color w:val="000000" w:themeColor="text1"/>
                <w:sz w:val="17"/>
                <w:lang w:val="en-GB"/>
              </w:rPr>
              <w:tab/>
              <w:t>Project on development of national and local policies on urban heritage, historical landscape and culture</w:t>
            </w:r>
          </w:p>
        </w:tc>
        <w:tc>
          <w:tcPr>
            <w:tcW w:w="441" w:type="pct"/>
            <w:shd w:val="clear" w:color="auto" w:fill="auto"/>
            <w:vAlign w:val="bottom"/>
          </w:tcPr>
          <w:p w14:paraId="7DF65CC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6F512E2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w:t>
            </w:r>
          </w:p>
        </w:tc>
        <w:tc>
          <w:tcPr>
            <w:tcW w:w="441" w:type="pct"/>
            <w:shd w:val="clear" w:color="auto" w:fill="auto"/>
            <w:vAlign w:val="bottom"/>
          </w:tcPr>
          <w:p w14:paraId="186395E9"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3F7AD11A"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w:t>
            </w:r>
          </w:p>
        </w:tc>
      </w:tr>
      <w:tr w:rsidR="0042053A" w:rsidRPr="00B10D24" w14:paraId="552E8991" w14:textId="77777777" w:rsidTr="00206464">
        <w:tc>
          <w:tcPr>
            <w:tcW w:w="3236" w:type="pct"/>
            <w:shd w:val="clear" w:color="auto" w:fill="auto"/>
            <w:vAlign w:val="bottom"/>
          </w:tcPr>
          <w:p w14:paraId="6172C4F9"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3.</w:t>
            </w:r>
            <w:r w:rsidRPr="00B10D24">
              <w:rPr>
                <w:color w:val="000000" w:themeColor="text1"/>
                <w:sz w:val="17"/>
                <w:lang w:val="en-GB"/>
              </w:rPr>
              <w:tab/>
              <w:t xml:space="preserve">Pilot projects on housing, slum upgrading, innovative financing for housing and land readjustment and on integrated urban and territorial renewal and regeneration </w:t>
            </w:r>
          </w:p>
        </w:tc>
        <w:tc>
          <w:tcPr>
            <w:tcW w:w="441" w:type="pct"/>
            <w:shd w:val="clear" w:color="auto" w:fill="auto"/>
            <w:vAlign w:val="bottom"/>
          </w:tcPr>
          <w:p w14:paraId="0AFB5FE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9</w:t>
            </w:r>
          </w:p>
        </w:tc>
        <w:tc>
          <w:tcPr>
            <w:tcW w:w="441" w:type="pct"/>
            <w:shd w:val="clear" w:color="auto" w:fill="auto"/>
            <w:vAlign w:val="bottom"/>
          </w:tcPr>
          <w:p w14:paraId="6899B89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6</w:t>
            </w:r>
          </w:p>
        </w:tc>
        <w:tc>
          <w:tcPr>
            <w:tcW w:w="441" w:type="pct"/>
            <w:shd w:val="clear" w:color="auto" w:fill="auto"/>
            <w:vAlign w:val="bottom"/>
          </w:tcPr>
          <w:p w14:paraId="6C4A623F"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12</w:t>
            </w:r>
          </w:p>
        </w:tc>
        <w:tc>
          <w:tcPr>
            <w:tcW w:w="441" w:type="pct"/>
            <w:shd w:val="clear" w:color="auto" w:fill="auto"/>
            <w:vAlign w:val="bottom"/>
          </w:tcPr>
          <w:p w14:paraId="7CA8075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8</w:t>
            </w:r>
          </w:p>
        </w:tc>
      </w:tr>
      <w:tr w:rsidR="0042053A" w:rsidRPr="00B10D24" w14:paraId="44106C46" w14:textId="77777777" w:rsidTr="00206464">
        <w:tc>
          <w:tcPr>
            <w:tcW w:w="3236" w:type="pct"/>
            <w:shd w:val="clear" w:color="auto" w:fill="auto"/>
            <w:vAlign w:val="bottom"/>
          </w:tcPr>
          <w:p w14:paraId="75606E5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4.</w:t>
            </w:r>
            <w:r w:rsidRPr="00B10D24">
              <w:rPr>
                <w:color w:val="000000" w:themeColor="text1"/>
                <w:sz w:val="17"/>
                <w:lang w:val="en-GB"/>
              </w:rPr>
              <w:tab/>
              <w:t>Projects on land tenure security, land-based financing and implementation of the Secretary-General’s guidance note on land and conflict</w:t>
            </w:r>
          </w:p>
        </w:tc>
        <w:tc>
          <w:tcPr>
            <w:tcW w:w="441" w:type="pct"/>
            <w:shd w:val="clear" w:color="auto" w:fill="auto"/>
            <w:vAlign w:val="bottom"/>
          </w:tcPr>
          <w:p w14:paraId="0F760AA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3E84471F"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w:t>
            </w:r>
          </w:p>
        </w:tc>
        <w:tc>
          <w:tcPr>
            <w:tcW w:w="441" w:type="pct"/>
            <w:shd w:val="clear" w:color="auto" w:fill="auto"/>
            <w:vAlign w:val="bottom"/>
          </w:tcPr>
          <w:p w14:paraId="73A9338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10</w:t>
            </w:r>
          </w:p>
        </w:tc>
        <w:tc>
          <w:tcPr>
            <w:tcW w:w="441" w:type="pct"/>
            <w:shd w:val="clear" w:color="auto" w:fill="auto"/>
            <w:vAlign w:val="bottom"/>
          </w:tcPr>
          <w:p w14:paraId="3D2B600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7</w:t>
            </w:r>
          </w:p>
        </w:tc>
      </w:tr>
      <w:tr w:rsidR="0042053A" w:rsidRPr="00B10D24" w14:paraId="40ECDDC9" w14:textId="77777777" w:rsidTr="00206464">
        <w:tc>
          <w:tcPr>
            <w:tcW w:w="3236" w:type="pct"/>
            <w:shd w:val="clear" w:color="auto" w:fill="auto"/>
            <w:vAlign w:val="bottom"/>
          </w:tcPr>
          <w:p w14:paraId="451690F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5.</w:t>
            </w:r>
            <w:r w:rsidRPr="00B10D24">
              <w:rPr>
                <w:color w:val="000000" w:themeColor="text1"/>
                <w:sz w:val="17"/>
                <w:lang w:val="en-GB"/>
              </w:rPr>
              <w:tab/>
              <w:t xml:space="preserve">Projects for integrated urban and territorial planning and on developing and implementing effective planning laws </w:t>
            </w:r>
          </w:p>
        </w:tc>
        <w:tc>
          <w:tcPr>
            <w:tcW w:w="441" w:type="pct"/>
            <w:shd w:val="clear" w:color="auto" w:fill="auto"/>
            <w:vAlign w:val="bottom"/>
          </w:tcPr>
          <w:p w14:paraId="0DC373C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6</w:t>
            </w:r>
          </w:p>
        </w:tc>
        <w:tc>
          <w:tcPr>
            <w:tcW w:w="441" w:type="pct"/>
            <w:shd w:val="clear" w:color="auto" w:fill="auto"/>
            <w:vAlign w:val="bottom"/>
          </w:tcPr>
          <w:p w14:paraId="1E3C4C7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4</w:t>
            </w:r>
          </w:p>
        </w:tc>
        <w:tc>
          <w:tcPr>
            <w:tcW w:w="441" w:type="pct"/>
            <w:shd w:val="clear" w:color="auto" w:fill="auto"/>
            <w:vAlign w:val="bottom"/>
          </w:tcPr>
          <w:p w14:paraId="0A4D4DAA"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9</w:t>
            </w:r>
          </w:p>
        </w:tc>
        <w:tc>
          <w:tcPr>
            <w:tcW w:w="441" w:type="pct"/>
            <w:shd w:val="clear" w:color="auto" w:fill="auto"/>
            <w:vAlign w:val="bottom"/>
          </w:tcPr>
          <w:p w14:paraId="52A9389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6</w:t>
            </w:r>
          </w:p>
        </w:tc>
      </w:tr>
      <w:tr w:rsidR="0042053A" w:rsidRPr="00B10D24" w14:paraId="649D527C" w14:textId="77777777" w:rsidTr="00206464">
        <w:tc>
          <w:tcPr>
            <w:tcW w:w="3236" w:type="pct"/>
            <w:shd w:val="clear" w:color="auto" w:fill="auto"/>
            <w:vAlign w:val="bottom"/>
          </w:tcPr>
          <w:p w14:paraId="5A05353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6.</w:t>
            </w:r>
            <w:r w:rsidRPr="00B10D24">
              <w:rPr>
                <w:color w:val="000000" w:themeColor="text1"/>
                <w:sz w:val="17"/>
                <w:lang w:val="en-GB"/>
              </w:rPr>
              <w:tab/>
              <w:t xml:space="preserve">Projects supporting urban monitoring, evidence-based policies for crime prevention and on community safety and social cohesion in cities and human settlements </w:t>
            </w:r>
          </w:p>
        </w:tc>
        <w:tc>
          <w:tcPr>
            <w:tcW w:w="441" w:type="pct"/>
            <w:shd w:val="clear" w:color="auto" w:fill="auto"/>
            <w:vAlign w:val="bottom"/>
          </w:tcPr>
          <w:p w14:paraId="14D69C7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3</w:t>
            </w:r>
          </w:p>
        </w:tc>
        <w:tc>
          <w:tcPr>
            <w:tcW w:w="441" w:type="pct"/>
            <w:shd w:val="clear" w:color="auto" w:fill="auto"/>
            <w:vAlign w:val="bottom"/>
          </w:tcPr>
          <w:p w14:paraId="083CC71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2</w:t>
            </w:r>
          </w:p>
        </w:tc>
        <w:tc>
          <w:tcPr>
            <w:tcW w:w="441" w:type="pct"/>
            <w:shd w:val="clear" w:color="auto" w:fill="auto"/>
            <w:vAlign w:val="bottom"/>
          </w:tcPr>
          <w:p w14:paraId="1EAE72A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3</w:t>
            </w:r>
          </w:p>
        </w:tc>
        <w:tc>
          <w:tcPr>
            <w:tcW w:w="441" w:type="pct"/>
            <w:shd w:val="clear" w:color="auto" w:fill="auto"/>
            <w:vAlign w:val="bottom"/>
          </w:tcPr>
          <w:p w14:paraId="257069F3"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2</w:t>
            </w:r>
          </w:p>
        </w:tc>
      </w:tr>
      <w:tr w:rsidR="0042053A" w:rsidRPr="00B10D24" w14:paraId="637043B9" w14:textId="77777777" w:rsidTr="00206464">
        <w:tc>
          <w:tcPr>
            <w:tcW w:w="3236" w:type="pct"/>
            <w:shd w:val="clear" w:color="auto" w:fill="auto"/>
            <w:vAlign w:val="bottom"/>
          </w:tcPr>
          <w:p w14:paraId="02725CA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color w:val="000000" w:themeColor="text1"/>
                <w:sz w:val="17"/>
                <w:lang w:val="en-GB"/>
              </w:rPr>
            </w:pPr>
            <w:r w:rsidRPr="00B10D24">
              <w:rPr>
                <w:b/>
                <w:bCs/>
                <w:color w:val="000000" w:themeColor="text1"/>
                <w:sz w:val="17"/>
                <w:lang w:val="en-GB"/>
              </w:rPr>
              <w:tab/>
              <w:t xml:space="preserve">Seminars, workshops and training events </w:t>
            </w:r>
            <w:r w:rsidRPr="00B10D24">
              <w:rPr>
                <w:color w:val="000000" w:themeColor="text1"/>
                <w:sz w:val="17"/>
                <w:lang w:val="en-GB"/>
              </w:rPr>
              <w:t>(number of days)</w:t>
            </w:r>
          </w:p>
        </w:tc>
        <w:tc>
          <w:tcPr>
            <w:tcW w:w="441" w:type="pct"/>
            <w:shd w:val="clear" w:color="auto" w:fill="auto"/>
            <w:vAlign w:val="bottom"/>
          </w:tcPr>
          <w:p w14:paraId="7858507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lang w:val="en-GB"/>
              </w:rPr>
            </w:pPr>
            <w:r w:rsidRPr="00B10D24">
              <w:rPr>
                <w:b/>
                <w:bCs/>
                <w:color w:val="000000" w:themeColor="text1"/>
                <w:sz w:val="17"/>
                <w:lang w:val="en-GB"/>
              </w:rPr>
              <w:t>51</w:t>
            </w:r>
          </w:p>
        </w:tc>
        <w:tc>
          <w:tcPr>
            <w:tcW w:w="441" w:type="pct"/>
            <w:shd w:val="clear" w:color="auto" w:fill="auto"/>
            <w:vAlign w:val="bottom"/>
          </w:tcPr>
          <w:p w14:paraId="6F131BF3"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szCs w:val="17"/>
                <w:lang w:val="en-GB"/>
              </w:rPr>
            </w:pPr>
            <w:r w:rsidRPr="00B10D24">
              <w:rPr>
                <w:b/>
                <w:bCs/>
                <w:color w:val="000000" w:themeColor="text1"/>
                <w:sz w:val="17"/>
                <w:szCs w:val="17"/>
                <w:lang w:val="en-GB"/>
              </w:rPr>
              <w:t>37</w:t>
            </w:r>
          </w:p>
        </w:tc>
        <w:tc>
          <w:tcPr>
            <w:tcW w:w="441" w:type="pct"/>
            <w:shd w:val="clear" w:color="auto" w:fill="auto"/>
            <w:vAlign w:val="bottom"/>
          </w:tcPr>
          <w:p w14:paraId="4B2437D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lang w:val="en-GB"/>
              </w:rPr>
            </w:pPr>
            <w:r w:rsidRPr="00B10D24">
              <w:rPr>
                <w:b/>
                <w:bCs/>
                <w:color w:val="000000" w:themeColor="text1"/>
                <w:sz w:val="17"/>
                <w:lang w:val="en-GB"/>
              </w:rPr>
              <w:t>79</w:t>
            </w:r>
          </w:p>
        </w:tc>
        <w:tc>
          <w:tcPr>
            <w:tcW w:w="441" w:type="pct"/>
            <w:shd w:val="clear" w:color="auto" w:fill="auto"/>
            <w:vAlign w:val="bottom"/>
          </w:tcPr>
          <w:p w14:paraId="477EB84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szCs w:val="17"/>
                <w:lang w:val="en-GB"/>
              </w:rPr>
            </w:pPr>
            <w:r w:rsidRPr="00B10D24">
              <w:rPr>
                <w:b/>
                <w:bCs/>
                <w:color w:val="000000" w:themeColor="text1"/>
                <w:sz w:val="17"/>
                <w:szCs w:val="17"/>
                <w:lang w:val="en-GB"/>
              </w:rPr>
              <w:t>49</w:t>
            </w:r>
          </w:p>
        </w:tc>
      </w:tr>
      <w:tr w:rsidR="0042053A" w:rsidRPr="00B10D24" w14:paraId="42700A0B" w14:textId="77777777" w:rsidTr="00206464">
        <w:tc>
          <w:tcPr>
            <w:tcW w:w="3236" w:type="pct"/>
            <w:shd w:val="clear" w:color="auto" w:fill="auto"/>
            <w:vAlign w:val="bottom"/>
          </w:tcPr>
          <w:p w14:paraId="64E2F86E"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7.</w:t>
            </w:r>
            <w:r w:rsidRPr="00B10D24">
              <w:rPr>
                <w:color w:val="000000" w:themeColor="text1"/>
                <w:sz w:val="17"/>
                <w:lang w:val="en-GB"/>
              </w:rPr>
              <w:tab/>
              <w:t>Workshops and training sessions on urban basic services: mobility, water and sanitation, energy and solid waste management</w:t>
            </w:r>
          </w:p>
        </w:tc>
        <w:tc>
          <w:tcPr>
            <w:tcW w:w="441" w:type="pct"/>
            <w:shd w:val="clear" w:color="auto" w:fill="auto"/>
            <w:vAlign w:val="bottom"/>
          </w:tcPr>
          <w:p w14:paraId="72618733"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21</w:t>
            </w:r>
          </w:p>
        </w:tc>
        <w:tc>
          <w:tcPr>
            <w:tcW w:w="441" w:type="pct"/>
            <w:shd w:val="clear" w:color="auto" w:fill="auto"/>
            <w:vAlign w:val="bottom"/>
          </w:tcPr>
          <w:p w14:paraId="228C974E"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15</w:t>
            </w:r>
          </w:p>
        </w:tc>
        <w:tc>
          <w:tcPr>
            <w:tcW w:w="441" w:type="pct"/>
            <w:shd w:val="clear" w:color="auto" w:fill="auto"/>
            <w:vAlign w:val="bottom"/>
          </w:tcPr>
          <w:p w14:paraId="069554D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29</w:t>
            </w:r>
          </w:p>
        </w:tc>
        <w:tc>
          <w:tcPr>
            <w:tcW w:w="441" w:type="pct"/>
            <w:shd w:val="clear" w:color="auto" w:fill="auto"/>
            <w:vAlign w:val="bottom"/>
          </w:tcPr>
          <w:p w14:paraId="29E49D3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20</w:t>
            </w:r>
          </w:p>
        </w:tc>
      </w:tr>
      <w:tr w:rsidR="0042053A" w:rsidRPr="00B10D24" w14:paraId="7FE6ADCB" w14:textId="77777777" w:rsidTr="00206464">
        <w:tc>
          <w:tcPr>
            <w:tcW w:w="3236" w:type="pct"/>
            <w:shd w:val="clear" w:color="auto" w:fill="auto"/>
            <w:vAlign w:val="bottom"/>
          </w:tcPr>
          <w:p w14:paraId="5F3E1146"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8.</w:t>
            </w:r>
            <w:r w:rsidRPr="00B10D24">
              <w:rPr>
                <w:color w:val="000000" w:themeColor="text1"/>
                <w:sz w:val="17"/>
                <w:lang w:val="en-GB"/>
              </w:rPr>
              <w:tab/>
              <w:t>Workshops and training sessions on slum upgrading, housing, heritage in urban development, regeneration and urban growth, urban design governance, public space, Global Network of Urban Planning and Design Labs and crime prevention and urban safety</w:t>
            </w:r>
          </w:p>
        </w:tc>
        <w:tc>
          <w:tcPr>
            <w:tcW w:w="441" w:type="pct"/>
            <w:shd w:val="clear" w:color="auto" w:fill="auto"/>
            <w:vAlign w:val="bottom"/>
          </w:tcPr>
          <w:p w14:paraId="6B299CFE"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13</w:t>
            </w:r>
          </w:p>
        </w:tc>
        <w:tc>
          <w:tcPr>
            <w:tcW w:w="441" w:type="pct"/>
            <w:shd w:val="clear" w:color="auto" w:fill="auto"/>
            <w:vAlign w:val="bottom"/>
          </w:tcPr>
          <w:p w14:paraId="3678B21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9</w:t>
            </w:r>
          </w:p>
        </w:tc>
        <w:tc>
          <w:tcPr>
            <w:tcW w:w="441" w:type="pct"/>
            <w:shd w:val="clear" w:color="auto" w:fill="auto"/>
            <w:vAlign w:val="bottom"/>
          </w:tcPr>
          <w:p w14:paraId="4F53D7F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20</w:t>
            </w:r>
          </w:p>
        </w:tc>
        <w:tc>
          <w:tcPr>
            <w:tcW w:w="441" w:type="pct"/>
            <w:shd w:val="clear" w:color="auto" w:fill="auto"/>
            <w:vAlign w:val="bottom"/>
          </w:tcPr>
          <w:p w14:paraId="5E911BD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12</w:t>
            </w:r>
          </w:p>
        </w:tc>
      </w:tr>
      <w:tr w:rsidR="0042053A" w:rsidRPr="00B10D24" w14:paraId="1D60C62B" w14:textId="77777777" w:rsidTr="00206464">
        <w:tc>
          <w:tcPr>
            <w:tcW w:w="3236" w:type="pct"/>
            <w:shd w:val="clear" w:color="auto" w:fill="auto"/>
            <w:vAlign w:val="bottom"/>
          </w:tcPr>
          <w:p w14:paraId="4FA6540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9.</w:t>
            </w:r>
            <w:r w:rsidRPr="00B10D24">
              <w:rPr>
                <w:color w:val="000000" w:themeColor="text1"/>
                <w:sz w:val="17"/>
                <w:lang w:val="en-GB"/>
              </w:rPr>
              <w:tab/>
              <w:t>Global and regional training workshops on land, housing, slum upgrading, housing studios and practitioner labs</w:t>
            </w:r>
          </w:p>
        </w:tc>
        <w:tc>
          <w:tcPr>
            <w:tcW w:w="441" w:type="pct"/>
            <w:shd w:val="clear" w:color="auto" w:fill="auto"/>
            <w:vAlign w:val="bottom"/>
          </w:tcPr>
          <w:p w14:paraId="3AF1B5F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5</w:t>
            </w:r>
          </w:p>
        </w:tc>
        <w:tc>
          <w:tcPr>
            <w:tcW w:w="441" w:type="pct"/>
            <w:shd w:val="clear" w:color="auto" w:fill="auto"/>
            <w:vAlign w:val="bottom"/>
          </w:tcPr>
          <w:p w14:paraId="65DE3AB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4</w:t>
            </w:r>
          </w:p>
        </w:tc>
        <w:tc>
          <w:tcPr>
            <w:tcW w:w="441" w:type="pct"/>
            <w:shd w:val="clear" w:color="auto" w:fill="auto"/>
            <w:vAlign w:val="bottom"/>
          </w:tcPr>
          <w:p w14:paraId="197E651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7</w:t>
            </w:r>
          </w:p>
        </w:tc>
        <w:tc>
          <w:tcPr>
            <w:tcW w:w="441" w:type="pct"/>
            <w:shd w:val="clear" w:color="auto" w:fill="auto"/>
            <w:vAlign w:val="bottom"/>
          </w:tcPr>
          <w:p w14:paraId="20F9774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5</w:t>
            </w:r>
          </w:p>
        </w:tc>
      </w:tr>
      <w:tr w:rsidR="0042053A" w:rsidRPr="00B10D24" w14:paraId="223EBC3F" w14:textId="77777777" w:rsidTr="00206464">
        <w:tc>
          <w:tcPr>
            <w:tcW w:w="3236" w:type="pct"/>
            <w:shd w:val="clear" w:color="auto" w:fill="auto"/>
            <w:vAlign w:val="bottom"/>
          </w:tcPr>
          <w:p w14:paraId="249F1306"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10.</w:t>
            </w:r>
            <w:r w:rsidRPr="00B10D24">
              <w:rPr>
                <w:color w:val="000000" w:themeColor="text1"/>
                <w:sz w:val="17"/>
                <w:lang w:val="en-GB"/>
              </w:rPr>
              <w:tab/>
              <w:t>Technical workshops on monitoring the Sustainable Development Goals and the New Urban Agenda</w:t>
            </w:r>
          </w:p>
        </w:tc>
        <w:tc>
          <w:tcPr>
            <w:tcW w:w="441" w:type="pct"/>
            <w:shd w:val="clear" w:color="auto" w:fill="auto"/>
            <w:vAlign w:val="bottom"/>
          </w:tcPr>
          <w:p w14:paraId="05A997E3"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4</w:t>
            </w:r>
          </w:p>
        </w:tc>
        <w:tc>
          <w:tcPr>
            <w:tcW w:w="441" w:type="pct"/>
            <w:shd w:val="clear" w:color="auto" w:fill="auto"/>
            <w:vAlign w:val="bottom"/>
          </w:tcPr>
          <w:p w14:paraId="5634969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3</w:t>
            </w:r>
          </w:p>
        </w:tc>
        <w:tc>
          <w:tcPr>
            <w:tcW w:w="441" w:type="pct"/>
            <w:shd w:val="clear" w:color="auto" w:fill="auto"/>
            <w:vAlign w:val="bottom"/>
          </w:tcPr>
          <w:p w14:paraId="3A82D2E3"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2</w:t>
            </w:r>
          </w:p>
        </w:tc>
        <w:tc>
          <w:tcPr>
            <w:tcW w:w="441" w:type="pct"/>
            <w:shd w:val="clear" w:color="auto" w:fill="auto"/>
            <w:vAlign w:val="bottom"/>
          </w:tcPr>
          <w:p w14:paraId="47E11DB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w:t>
            </w:r>
          </w:p>
        </w:tc>
      </w:tr>
      <w:tr w:rsidR="0042053A" w:rsidRPr="00B10D24" w14:paraId="08364FA7" w14:textId="77777777" w:rsidTr="00206464">
        <w:tc>
          <w:tcPr>
            <w:tcW w:w="3236" w:type="pct"/>
            <w:shd w:val="clear" w:color="auto" w:fill="auto"/>
            <w:vAlign w:val="bottom"/>
          </w:tcPr>
          <w:p w14:paraId="5BC8758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11.</w:t>
            </w:r>
            <w:r w:rsidRPr="00B10D24">
              <w:rPr>
                <w:color w:val="000000" w:themeColor="text1"/>
                <w:sz w:val="17"/>
                <w:lang w:val="en-GB"/>
              </w:rPr>
              <w:tab/>
              <w:t>Training sessions on policy, planning and design, governance, legislation and finance and data collection</w:t>
            </w:r>
          </w:p>
        </w:tc>
        <w:tc>
          <w:tcPr>
            <w:tcW w:w="441" w:type="pct"/>
            <w:shd w:val="clear" w:color="auto" w:fill="auto"/>
            <w:vAlign w:val="bottom"/>
          </w:tcPr>
          <w:p w14:paraId="3451C889"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8</w:t>
            </w:r>
          </w:p>
        </w:tc>
        <w:tc>
          <w:tcPr>
            <w:tcW w:w="441" w:type="pct"/>
            <w:shd w:val="clear" w:color="auto" w:fill="auto"/>
            <w:vAlign w:val="bottom"/>
          </w:tcPr>
          <w:p w14:paraId="4086F959"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6</w:t>
            </w:r>
          </w:p>
        </w:tc>
        <w:tc>
          <w:tcPr>
            <w:tcW w:w="441" w:type="pct"/>
            <w:shd w:val="clear" w:color="auto" w:fill="auto"/>
            <w:vAlign w:val="bottom"/>
          </w:tcPr>
          <w:p w14:paraId="1518B369"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14</w:t>
            </w:r>
          </w:p>
        </w:tc>
        <w:tc>
          <w:tcPr>
            <w:tcW w:w="441" w:type="pct"/>
            <w:shd w:val="clear" w:color="auto" w:fill="auto"/>
            <w:vAlign w:val="bottom"/>
          </w:tcPr>
          <w:p w14:paraId="6FA7821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8</w:t>
            </w:r>
          </w:p>
        </w:tc>
      </w:tr>
      <w:tr w:rsidR="0042053A" w:rsidRPr="00B10D24" w14:paraId="1B8C95AB" w14:textId="77777777" w:rsidTr="00206464">
        <w:tc>
          <w:tcPr>
            <w:tcW w:w="3236" w:type="pct"/>
            <w:shd w:val="clear" w:color="auto" w:fill="auto"/>
            <w:vAlign w:val="bottom"/>
          </w:tcPr>
          <w:p w14:paraId="269A5C1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lastRenderedPageBreak/>
              <w:tab/>
              <w:t>12.</w:t>
            </w:r>
            <w:r w:rsidRPr="00B10D24">
              <w:rPr>
                <w:color w:val="000000" w:themeColor="text1"/>
                <w:sz w:val="17"/>
                <w:lang w:val="en-GB"/>
              </w:rPr>
              <w:tab/>
              <w:t>Training sessions on land and conflict and on land tenure, governance and financing; and expert group meetings on urban land governance in the Arab States region</w:t>
            </w:r>
          </w:p>
        </w:tc>
        <w:tc>
          <w:tcPr>
            <w:tcW w:w="441" w:type="pct"/>
            <w:shd w:val="clear" w:color="auto" w:fill="auto"/>
            <w:vAlign w:val="bottom"/>
          </w:tcPr>
          <w:p w14:paraId="0ACA939A"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188D40D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w:t>
            </w:r>
          </w:p>
        </w:tc>
        <w:tc>
          <w:tcPr>
            <w:tcW w:w="441" w:type="pct"/>
            <w:shd w:val="clear" w:color="auto" w:fill="auto"/>
            <w:vAlign w:val="bottom"/>
          </w:tcPr>
          <w:p w14:paraId="7DFDD71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7</w:t>
            </w:r>
          </w:p>
        </w:tc>
        <w:tc>
          <w:tcPr>
            <w:tcW w:w="441" w:type="pct"/>
            <w:shd w:val="clear" w:color="auto" w:fill="auto"/>
            <w:vAlign w:val="bottom"/>
          </w:tcPr>
          <w:p w14:paraId="0E317CC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3</w:t>
            </w:r>
          </w:p>
        </w:tc>
      </w:tr>
      <w:tr w:rsidR="0042053A" w:rsidRPr="00B10D24" w14:paraId="4DD9ACB8" w14:textId="77777777" w:rsidTr="00206464">
        <w:trPr>
          <w:trHeight w:val="300"/>
        </w:trPr>
        <w:tc>
          <w:tcPr>
            <w:tcW w:w="3236" w:type="pct"/>
            <w:shd w:val="clear" w:color="auto" w:fill="auto"/>
            <w:vAlign w:val="bottom"/>
          </w:tcPr>
          <w:p w14:paraId="7B567D83"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color w:val="000000" w:themeColor="text1"/>
                <w:sz w:val="17"/>
                <w:lang w:val="en-GB"/>
              </w:rPr>
            </w:pPr>
            <w:r w:rsidRPr="00B10D24">
              <w:rPr>
                <w:b/>
                <w:bCs/>
                <w:color w:val="000000" w:themeColor="text1"/>
                <w:sz w:val="17"/>
                <w:lang w:val="en-GB"/>
              </w:rPr>
              <w:tab/>
              <w:t xml:space="preserve">Publications </w:t>
            </w:r>
            <w:r w:rsidRPr="00B10D24">
              <w:rPr>
                <w:color w:val="000000" w:themeColor="text1"/>
                <w:sz w:val="17"/>
                <w:lang w:val="en-GB"/>
              </w:rPr>
              <w:t>(number of publications)</w:t>
            </w:r>
            <w:r w:rsidRPr="00B10D24">
              <w:rPr>
                <w:b/>
                <w:bCs/>
                <w:color w:val="000000" w:themeColor="text1"/>
                <w:sz w:val="17"/>
                <w:lang w:val="en-GB"/>
              </w:rPr>
              <w:t xml:space="preserve"> </w:t>
            </w:r>
          </w:p>
        </w:tc>
        <w:tc>
          <w:tcPr>
            <w:tcW w:w="441" w:type="pct"/>
            <w:shd w:val="clear" w:color="auto" w:fill="auto"/>
            <w:vAlign w:val="bottom"/>
          </w:tcPr>
          <w:p w14:paraId="4019F3D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lang w:val="en-GB"/>
              </w:rPr>
            </w:pPr>
            <w:r w:rsidRPr="00B10D24">
              <w:rPr>
                <w:b/>
                <w:bCs/>
                <w:color w:val="000000" w:themeColor="text1"/>
                <w:sz w:val="17"/>
                <w:lang w:val="en-GB"/>
              </w:rPr>
              <w:t>2</w:t>
            </w:r>
          </w:p>
        </w:tc>
        <w:tc>
          <w:tcPr>
            <w:tcW w:w="441" w:type="pct"/>
            <w:shd w:val="clear" w:color="auto" w:fill="auto"/>
            <w:vAlign w:val="bottom"/>
          </w:tcPr>
          <w:p w14:paraId="3EAD471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szCs w:val="17"/>
                <w:lang w:val="en-GB"/>
              </w:rPr>
            </w:pPr>
            <w:r w:rsidRPr="00B10D24">
              <w:rPr>
                <w:b/>
                <w:bCs/>
                <w:color w:val="000000" w:themeColor="text1"/>
                <w:sz w:val="17"/>
                <w:szCs w:val="17"/>
                <w:lang w:val="en-GB"/>
              </w:rPr>
              <w:t>2</w:t>
            </w:r>
          </w:p>
        </w:tc>
        <w:tc>
          <w:tcPr>
            <w:tcW w:w="441" w:type="pct"/>
            <w:shd w:val="clear" w:color="auto" w:fill="auto"/>
            <w:vAlign w:val="bottom"/>
          </w:tcPr>
          <w:p w14:paraId="188C329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lang w:val="en-GB"/>
              </w:rPr>
            </w:pPr>
            <w:r w:rsidRPr="00B10D24">
              <w:rPr>
                <w:b/>
                <w:bCs/>
                <w:color w:val="000000" w:themeColor="text1"/>
                <w:sz w:val="17"/>
                <w:lang w:val="en-GB"/>
              </w:rPr>
              <w:t>3</w:t>
            </w:r>
          </w:p>
        </w:tc>
        <w:tc>
          <w:tcPr>
            <w:tcW w:w="441" w:type="pct"/>
            <w:shd w:val="clear" w:color="auto" w:fill="auto"/>
            <w:vAlign w:val="bottom"/>
          </w:tcPr>
          <w:p w14:paraId="557D956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szCs w:val="17"/>
                <w:lang w:val="en-GB"/>
              </w:rPr>
            </w:pPr>
            <w:r w:rsidRPr="00B10D24">
              <w:rPr>
                <w:b/>
                <w:bCs/>
                <w:color w:val="000000" w:themeColor="text1"/>
                <w:sz w:val="17"/>
                <w:szCs w:val="17"/>
                <w:lang w:val="en-GB"/>
              </w:rPr>
              <w:t>3</w:t>
            </w:r>
          </w:p>
        </w:tc>
      </w:tr>
      <w:tr w:rsidR="0042053A" w:rsidRPr="00B10D24" w14:paraId="2D93D1B2" w14:textId="77777777" w:rsidTr="00206464">
        <w:tc>
          <w:tcPr>
            <w:tcW w:w="3236" w:type="pct"/>
            <w:shd w:val="clear" w:color="auto" w:fill="auto"/>
            <w:vAlign w:val="bottom"/>
          </w:tcPr>
          <w:p w14:paraId="32C3E4F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70"/>
                <w:tab w:val="left" w:pos="576"/>
                <w:tab w:val="left" w:pos="864"/>
                <w:tab w:val="left" w:pos="1152"/>
              </w:tabs>
              <w:spacing w:before="40" w:after="40" w:line="210" w:lineRule="exact"/>
              <w:ind w:left="630" w:right="40" w:hanging="621"/>
              <w:jc w:val="left"/>
              <w:rPr>
                <w:color w:val="000000" w:themeColor="text1"/>
                <w:sz w:val="17"/>
                <w:szCs w:val="17"/>
                <w:lang w:val="en-GB"/>
              </w:rPr>
            </w:pPr>
            <w:r w:rsidRPr="00B10D24">
              <w:rPr>
                <w:color w:val="000000" w:themeColor="text1"/>
                <w:sz w:val="17"/>
                <w:lang w:val="en-GB"/>
              </w:rPr>
              <w:tab/>
            </w:r>
            <w:r w:rsidRPr="00B10D24">
              <w:rPr>
                <w:color w:val="000000" w:themeColor="text1"/>
                <w:sz w:val="17"/>
                <w:szCs w:val="17"/>
                <w:lang w:val="en-GB"/>
              </w:rPr>
              <w:t>13.</w:t>
            </w:r>
            <w:r w:rsidRPr="00B10D24">
              <w:rPr>
                <w:color w:val="000000" w:themeColor="text1"/>
                <w:sz w:val="17"/>
                <w:lang w:val="en-GB"/>
              </w:rPr>
              <w:tab/>
            </w:r>
            <w:r w:rsidRPr="00B10D24">
              <w:rPr>
                <w:color w:val="000000" w:themeColor="text1"/>
                <w:sz w:val="17"/>
                <w:szCs w:val="17"/>
                <w:lang w:val="en-GB"/>
              </w:rPr>
              <w:t>Publication on low emission options for sustainable mobility</w:t>
            </w:r>
          </w:p>
        </w:tc>
        <w:tc>
          <w:tcPr>
            <w:tcW w:w="441" w:type="pct"/>
            <w:shd w:val="clear" w:color="auto" w:fill="auto"/>
            <w:vAlign w:val="bottom"/>
          </w:tcPr>
          <w:p w14:paraId="203299B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503FC2BE"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w:t>
            </w:r>
          </w:p>
        </w:tc>
        <w:tc>
          <w:tcPr>
            <w:tcW w:w="441" w:type="pct"/>
            <w:shd w:val="clear" w:color="auto" w:fill="auto"/>
            <w:vAlign w:val="bottom"/>
          </w:tcPr>
          <w:p w14:paraId="391ED4E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6ED99E1E"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w:t>
            </w:r>
          </w:p>
        </w:tc>
      </w:tr>
      <w:tr w:rsidR="0042053A" w:rsidRPr="00B10D24" w14:paraId="01ED1FC9" w14:textId="77777777" w:rsidTr="00206464">
        <w:tc>
          <w:tcPr>
            <w:tcW w:w="3236" w:type="pct"/>
            <w:shd w:val="clear" w:color="auto" w:fill="auto"/>
            <w:vAlign w:val="bottom"/>
          </w:tcPr>
          <w:p w14:paraId="1AE0699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14.</w:t>
            </w:r>
            <w:r w:rsidRPr="00B10D24">
              <w:rPr>
                <w:color w:val="000000" w:themeColor="text1"/>
                <w:sz w:val="17"/>
                <w:lang w:val="en-GB"/>
              </w:rPr>
              <w:tab/>
              <w:t xml:space="preserve">Global report: </w:t>
            </w:r>
            <w:r w:rsidRPr="00B10D24">
              <w:rPr>
                <w:i/>
                <w:color w:val="000000" w:themeColor="text1"/>
                <w:sz w:val="17"/>
                <w:lang w:val="en-GB"/>
              </w:rPr>
              <w:t>Transforming One Billion Lives – Improved Living Conditions and Sustainable Urbanization – The Challenge of Slums and Informal Settlements in 2020</w:t>
            </w:r>
            <w:r w:rsidRPr="00B10D24">
              <w:rPr>
                <w:color w:val="000000" w:themeColor="text1"/>
                <w:sz w:val="17"/>
                <w:lang w:val="en-GB"/>
              </w:rPr>
              <w:t xml:space="preserve"> (follow-up to publication from 2003)</w:t>
            </w:r>
          </w:p>
        </w:tc>
        <w:tc>
          <w:tcPr>
            <w:tcW w:w="441" w:type="pct"/>
            <w:shd w:val="clear" w:color="auto" w:fill="auto"/>
            <w:vAlign w:val="bottom"/>
          </w:tcPr>
          <w:p w14:paraId="2E407E9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7B45E09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w:t>
            </w:r>
          </w:p>
        </w:tc>
        <w:tc>
          <w:tcPr>
            <w:tcW w:w="441" w:type="pct"/>
            <w:shd w:val="clear" w:color="auto" w:fill="auto"/>
            <w:vAlign w:val="bottom"/>
          </w:tcPr>
          <w:p w14:paraId="42C5EA5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3DBC754F"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w:t>
            </w:r>
          </w:p>
        </w:tc>
      </w:tr>
      <w:tr w:rsidR="0042053A" w:rsidRPr="00B10D24" w14:paraId="4AB80398" w14:textId="77777777" w:rsidTr="00206464">
        <w:tc>
          <w:tcPr>
            <w:tcW w:w="3236" w:type="pct"/>
            <w:shd w:val="clear" w:color="auto" w:fill="auto"/>
            <w:vAlign w:val="bottom"/>
          </w:tcPr>
          <w:p w14:paraId="00E90B76"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color w:val="000000" w:themeColor="text1"/>
                <w:sz w:val="17"/>
                <w:lang w:val="en-GB"/>
              </w:rPr>
            </w:pPr>
            <w:r w:rsidRPr="00B10D24">
              <w:rPr>
                <w:color w:val="000000" w:themeColor="text1"/>
                <w:sz w:val="17"/>
                <w:lang w:val="en-GB"/>
              </w:rPr>
              <w:tab/>
              <w:t>15.</w:t>
            </w:r>
            <w:r w:rsidRPr="00B10D24">
              <w:rPr>
                <w:color w:val="000000" w:themeColor="text1"/>
                <w:sz w:val="17"/>
                <w:lang w:val="en-GB"/>
              </w:rPr>
              <w:tab/>
              <w:t>Land tenure and land degradation</w:t>
            </w:r>
          </w:p>
        </w:tc>
        <w:tc>
          <w:tcPr>
            <w:tcW w:w="441" w:type="pct"/>
            <w:shd w:val="clear" w:color="auto" w:fill="auto"/>
            <w:vAlign w:val="bottom"/>
          </w:tcPr>
          <w:p w14:paraId="07694C2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6D9ADA3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w:t>
            </w:r>
          </w:p>
        </w:tc>
        <w:tc>
          <w:tcPr>
            <w:tcW w:w="441" w:type="pct"/>
            <w:shd w:val="clear" w:color="auto" w:fill="auto"/>
            <w:vAlign w:val="bottom"/>
          </w:tcPr>
          <w:p w14:paraId="68B322B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3B47C0B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w:t>
            </w:r>
          </w:p>
        </w:tc>
      </w:tr>
      <w:tr w:rsidR="0042053A" w:rsidRPr="00B10D24" w14:paraId="48E55815" w14:textId="77777777" w:rsidTr="00206464">
        <w:tc>
          <w:tcPr>
            <w:tcW w:w="3236" w:type="pct"/>
            <w:shd w:val="clear" w:color="auto" w:fill="auto"/>
            <w:vAlign w:val="bottom"/>
          </w:tcPr>
          <w:p w14:paraId="106EA80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color w:val="000000" w:themeColor="text1"/>
                <w:sz w:val="17"/>
                <w:lang w:val="en-GB"/>
              </w:rPr>
            </w:pPr>
            <w:r w:rsidRPr="00B10D24">
              <w:rPr>
                <w:color w:val="000000" w:themeColor="text1"/>
                <w:sz w:val="17"/>
                <w:lang w:val="en-GB"/>
              </w:rPr>
              <w:tab/>
              <w:t>16.</w:t>
            </w:r>
            <w:r w:rsidRPr="00B10D24">
              <w:rPr>
                <w:color w:val="000000" w:themeColor="text1"/>
                <w:sz w:val="17"/>
                <w:lang w:val="en-GB"/>
              </w:rPr>
              <w:tab/>
              <w:t>Global report on land governance</w:t>
            </w:r>
          </w:p>
        </w:tc>
        <w:tc>
          <w:tcPr>
            <w:tcW w:w="441" w:type="pct"/>
            <w:shd w:val="clear" w:color="auto" w:fill="auto"/>
            <w:vAlign w:val="bottom"/>
          </w:tcPr>
          <w:p w14:paraId="0030C4C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69FA9F0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w:t>
            </w:r>
          </w:p>
        </w:tc>
        <w:tc>
          <w:tcPr>
            <w:tcW w:w="441" w:type="pct"/>
            <w:shd w:val="clear" w:color="auto" w:fill="auto"/>
            <w:vAlign w:val="bottom"/>
          </w:tcPr>
          <w:p w14:paraId="4EB4808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7DB2A15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w:t>
            </w:r>
          </w:p>
        </w:tc>
      </w:tr>
      <w:tr w:rsidR="0042053A" w:rsidRPr="00B10D24" w14:paraId="4A9BD1DC" w14:textId="77777777" w:rsidTr="00206464">
        <w:tc>
          <w:tcPr>
            <w:tcW w:w="3236" w:type="pct"/>
            <w:shd w:val="clear" w:color="auto" w:fill="auto"/>
            <w:vAlign w:val="bottom"/>
          </w:tcPr>
          <w:p w14:paraId="2170FBA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color w:val="000000" w:themeColor="text1"/>
                <w:sz w:val="17"/>
                <w:lang w:val="en-GB"/>
              </w:rPr>
            </w:pPr>
            <w:r w:rsidRPr="00B10D24">
              <w:rPr>
                <w:color w:val="000000" w:themeColor="text1"/>
                <w:sz w:val="17"/>
                <w:lang w:val="en-GB"/>
              </w:rPr>
              <w:tab/>
              <w:t>17.</w:t>
            </w:r>
            <w:r w:rsidRPr="00B10D24">
              <w:rPr>
                <w:color w:val="000000" w:themeColor="text1"/>
                <w:sz w:val="17"/>
                <w:lang w:val="en-GB"/>
              </w:rPr>
              <w:tab/>
              <w:t>Publication on affordable and sustainable housing</w:t>
            </w:r>
          </w:p>
        </w:tc>
        <w:tc>
          <w:tcPr>
            <w:tcW w:w="441" w:type="pct"/>
            <w:shd w:val="clear" w:color="auto" w:fill="auto"/>
            <w:vAlign w:val="bottom"/>
          </w:tcPr>
          <w:p w14:paraId="0673810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18299BF9"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 xml:space="preserve"> –</w:t>
            </w:r>
          </w:p>
        </w:tc>
        <w:tc>
          <w:tcPr>
            <w:tcW w:w="441" w:type="pct"/>
            <w:shd w:val="clear" w:color="auto" w:fill="auto"/>
            <w:vAlign w:val="bottom"/>
          </w:tcPr>
          <w:p w14:paraId="0F515C4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3F4EBC5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1</w:t>
            </w:r>
          </w:p>
        </w:tc>
      </w:tr>
      <w:tr w:rsidR="0042053A" w:rsidRPr="00B10D24" w14:paraId="599CC976" w14:textId="77777777" w:rsidTr="00206464">
        <w:tc>
          <w:tcPr>
            <w:tcW w:w="3236" w:type="pct"/>
            <w:shd w:val="clear" w:color="auto" w:fill="auto"/>
            <w:vAlign w:val="bottom"/>
          </w:tcPr>
          <w:p w14:paraId="56CEBB9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color w:val="000000" w:themeColor="text1"/>
                <w:sz w:val="17"/>
                <w:lang w:val="en-GB"/>
              </w:rPr>
            </w:pPr>
            <w:r w:rsidRPr="00B10D24">
              <w:rPr>
                <w:b/>
                <w:bCs/>
                <w:color w:val="000000" w:themeColor="text1"/>
                <w:sz w:val="17"/>
                <w:lang w:val="en-GB"/>
              </w:rPr>
              <w:tab/>
              <w:t xml:space="preserve">Technical materials </w:t>
            </w:r>
            <w:r w:rsidRPr="00B10D24">
              <w:rPr>
                <w:color w:val="000000" w:themeColor="text1"/>
                <w:sz w:val="17"/>
                <w:lang w:val="en-GB"/>
              </w:rPr>
              <w:t>(number of materials)</w:t>
            </w:r>
          </w:p>
        </w:tc>
        <w:tc>
          <w:tcPr>
            <w:tcW w:w="441" w:type="pct"/>
            <w:shd w:val="clear" w:color="auto" w:fill="auto"/>
            <w:vAlign w:val="bottom"/>
          </w:tcPr>
          <w:p w14:paraId="540055F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lang w:val="en-GB"/>
              </w:rPr>
            </w:pPr>
            <w:r w:rsidRPr="00B10D24">
              <w:rPr>
                <w:b/>
                <w:bCs/>
                <w:color w:val="000000" w:themeColor="text1"/>
                <w:sz w:val="17"/>
                <w:lang w:val="en-GB"/>
              </w:rPr>
              <w:t>–</w:t>
            </w:r>
          </w:p>
        </w:tc>
        <w:tc>
          <w:tcPr>
            <w:tcW w:w="441" w:type="pct"/>
            <w:shd w:val="clear" w:color="auto" w:fill="auto"/>
            <w:vAlign w:val="bottom"/>
          </w:tcPr>
          <w:p w14:paraId="2BEDEB93"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szCs w:val="17"/>
                <w:lang w:val="en-GB"/>
              </w:rPr>
            </w:pPr>
            <w:r w:rsidRPr="00B10D24">
              <w:rPr>
                <w:b/>
                <w:bCs/>
                <w:color w:val="000000" w:themeColor="text1"/>
                <w:sz w:val="17"/>
                <w:szCs w:val="17"/>
                <w:lang w:val="en-GB"/>
              </w:rPr>
              <w:t>8</w:t>
            </w:r>
          </w:p>
        </w:tc>
        <w:tc>
          <w:tcPr>
            <w:tcW w:w="441" w:type="pct"/>
            <w:shd w:val="clear" w:color="auto" w:fill="auto"/>
            <w:vAlign w:val="bottom"/>
          </w:tcPr>
          <w:p w14:paraId="617324E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lang w:val="en-GB"/>
              </w:rPr>
            </w:pPr>
            <w:r w:rsidRPr="00B10D24">
              <w:rPr>
                <w:b/>
                <w:bCs/>
                <w:color w:val="000000" w:themeColor="text1"/>
                <w:sz w:val="17"/>
                <w:lang w:val="en-GB"/>
              </w:rPr>
              <w:t>19</w:t>
            </w:r>
          </w:p>
        </w:tc>
        <w:tc>
          <w:tcPr>
            <w:tcW w:w="441" w:type="pct"/>
            <w:shd w:val="clear" w:color="auto" w:fill="auto"/>
            <w:vAlign w:val="bottom"/>
          </w:tcPr>
          <w:p w14:paraId="195B2B6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color w:val="000000" w:themeColor="text1"/>
                <w:sz w:val="17"/>
                <w:szCs w:val="17"/>
                <w:lang w:val="en-GB"/>
              </w:rPr>
            </w:pPr>
            <w:r w:rsidRPr="00B10D24">
              <w:rPr>
                <w:b/>
                <w:bCs/>
                <w:color w:val="000000" w:themeColor="text1"/>
                <w:sz w:val="17"/>
                <w:szCs w:val="17"/>
                <w:lang w:val="en-GB"/>
              </w:rPr>
              <w:t>11</w:t>
            </w:r>
          </w:p>
        </w:tc>
      </w:tr>
      <w:tr w:rsidR="0042053A" w:rsidRPr="00B10D24" w14:paraId="176D779E" w14:textId="77777777" w:rsidTr="00206464">
        <w:tc>
          <w:tcPr>
            <w:tcW w:w="3236" w:type="pct"/>
            <w:shd w:val="clear" w:color="auto" w:fill="auto"/>
            <w:vAlign w:val="bottom"/>
          </w:tcPr>
          <w:p w14:paraId="6EE992C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18.</w:t>
            </w:r>
            <w:r w:rsidRPr="00B10D24">
              <w:rPr>
                <w:color w:val="000000" w:themeColor="text1"/>
                <w:sz w:val="17"/>
                <w:lang w:val="en-GB"/>
              </w:rPr>
              <w:tab/>
              <w:t>Innovative finance mechanisms for rental, cooperative, incremental housing and land readjustment schemes to reduce urban poverty</w:t>
            </w:r>
          </w:p>
        </w:tc>
        <w:tc>
          <w:tcPr>
            <w:tcW w:w="441" w:type="pct"/>
            <w:shd w:val="clear" w:color="auto" w:fill="auto"/>
            <w:vAlign w:val="bottom"/>
          </w:tcPr>
          <w:p w14:paraId="11B1A1A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669291B3"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2</w:t>
            </w:r>
          </w:p>
        </w:tc>
        <w:tc>
          <w:tcPr>
            <w:tcW w:w="441" w:type="pct"/>
            <w:shd w:val="clear" w:color="auto" w:fill="auto"/>
            <w:vAlign w:val="bottom"/>
          </w:tcPr>
          <w:p w14:paraId="1FEC75A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4D6ADB5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color w:val="000000" w:themeColor="text1"/>
                <w:sz w:val="17"/>
                <w:szCs w:val="17"/>
                <w:lang w:val="en-GB"/>
              </w:rPr>
            </w:pPr>
            <w:r w:rsidRPr="00B10D24">
              <w:rPr>
                <w:color w:val="000000" w:themeColor="text1"/>
                <w:sz w:val="17"/>
                <w:szCs w:val="17"/>
                <w:lang w:val="en-GB"/>
              </w:rPr>
              <w:t>–</w:t>
            </w:r>
          </w:p>
        </w:tc>
      </w:tr>
      <w:tr w:rsidR="0042053A" w:rsidRPr="00B10D24" w14:paraId="5C51A009" w14:textId="77777777" w:rsidTr="00206464">
        <w:tc>
          <w:tcPr>
            <w:tcW w:w="3236" w:type="pct"/>
            <w:shd w:val="clear" w:color="auto" w:fill="auto"/>
            <w:vAlign w:val="bottom"/>
          </w:tcPr>
          <w:p w14:paraId="5D92A829"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19.</w:t>
            </w:r>
            <w:r w:rsidRPr="00B10D24">
              <w:rPr>
                <w:color w:val="000000" w:themeColor="text1"/>
                <w:sz w:val="17"/>
                <w:lang w:val="en-GB"/>
              </w:rPr>
              <w:tab/>
              <w:t xml:space="preserve">Compendium of policies, plans, good practices and experiences on city planning, urban regeneration, heritage conservation and extension </w:t>
            </w:r>
          </w:p>
        </w:tc>
        <w:tc>
          <w:tcPr>
            <w:tcW w:w="441" w:type="pct"/>
            <w:shd w:val="clear" w:color="auto" w:fill="auto"/>
            <w:vAlign w:val="bottom"/>
          </w:tcPr>
          <w:p w14:paraId="5E4A1CD6"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5C4125D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2</w:t>
            </w:r>
          </w:p>
        </w:tc>
        <w:tc>
          <w:tcPr>
            <w:tcW w:w="441" w:type="pct"/>
            <w:shd w:val="clear" w:color="auto" w:fill="auto"/>
            <w:vAlign w:val="bottom"/>
          </w:tcPr>
          <w:p w14:paraId="4A54A83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2</w:t>
            </w:r>
          </w:p>
        </w:tc>
        <w:tc>
          <w:tcPr>
            <w:tcW w:w="441" w:type="pct"/>
            <w:shd w:val="clear" w:color="auto" w:fill="auto"/>
            <w:vAlign w:val="bottom"/>
          </w:tcPr>
          <w:p w14:paraId="2CC6A91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1</w:t>
            </w:r>
          </w:p>
        </w:tc>
      </w:tr>
      <w:tr w:rsidR="0042053A" w:rsidRPr="00B10D24" w14:paraId="5D3012C2" w14:textId="77777777" w:rsidTr="00206464">
        <w:tc>
          <w:tcPr>
            <w:tcW w:w="3236" w:type="pct"/>
            <w:shd w:val="clear" w:color="auto" w:fill="auto"/>
            <w:vAlign w:val="bottom"/>
          </w:tcPr>
          <w:p w14:paraId="42755A7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20.</w:t>
            </w:r>
            <w:r w:rsidRPr="00B10D24">
              <w:rPr>
                <w:color w:val="000000" w:themeColor="text1"/>
                <w:sz w:val="17"/>
                <w:lang w:val="en-GB"/>
              </w:rPr>
              <w:tab/>
              <w:t>Best practices, guides, standards and case studies on increased and equal access to basic services, sustainable mobility and public space</w:t>
            </w:r>
          </w:p>
        </w:tc>
        <w:tc>
          <w:tcPr>
            <w:tcW w:w="441" w:type="pct"/>
            <w:shd w:val="clear" w:color="auto" w:fill="auto"/>
            <w:vAlign w:val="bottom"/>
          </w:tcPr>
          <w:p w14:paraId="2B1BDE2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6727032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2</w:t>
            </w:r>
          </w:p>
        </w:tc>
        <w:tc>
          <w:tcPr>
            <w:tcW w:w="441" w:type="pct"/>
            <w:shd w:val="clear" w:color="auto" w:fill="auto"/>
            <w:vAlign w:val="bottom"/>
          </w:tcPr>
          <w:p w14:paraId="5EB06F0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2</w:t>
            </w:r>
          </w:p>
        </w:tc>
        <w:tc>
          <w:tcPr>
            <w:tcW w:w="441" w:type="pct"/>
            <w:shd w:val="clear" w:color="auto" w:fill="auto"/>
            <w:vAlign w:val="bottom"/>
          </w:tcPr>
          <w:p w14:paraId="319FDEB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2</w:t>
            </w:r>
          </w:p>
        </w:tc>
      </w:tr>
      <w:tr w:rsidR="0042053A" w:rsidRPr="00B10D24" w14:paraId="78B2CB7D" w14:textId="77777777" w:rsidTr="00206464">
        <w:tc>
          <w:tcPr>
            <w:tcW w:w="3236" w:type="pct"/>
            <w:shd w:val="clear" w:color="auto" w:fill="auto"/>
            <w:vAlign w:val="bottom"/>
          </w:tcPr>
          <w:p w14:paraId="184C751F"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97"/>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21.</w:t>
            </w:r>
            <w:r w:rsidRPr="00B10D24">
              <w:rPr>
                <w:color w:val="000000" w:themeColor="text1"/>
                <w:sz w:val="17"/>
                <w:lang w:val="en-GB"/>
              </w:rPr>
              <w:tab/>
              <w:t xml:space="preserve">Report on policies, plans and legislation for improved safety, particularly for urban youth, women and children </w:t>
            </w:r>
          </w:p>
        </w:tc>
        <w:tc>
          <w:tcPr>
            <w:tcW w:w="441" w:type="pct"/>
            <w:shd w:val="clear" w:color="auto" w:fill="auto"/>
            <w:vAlign w:val="bottom"/>
          </w:tcPr>
          <w:p w14:paraId="4835D52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543FA13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2818CFF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 xml:space="preserve">– </w:t>
            </w:r>
          </w:p>
        </w:tc>
        <w:tc>
          <w:tcPr>
            <w:tcW w:w="441" w:type="pct"/>
            <w:shd w:val="clear" w:color="auto" w:fill="auto"/>
            <w:vAlign w:val="bottom"/>
          </w:tcPr>
          <w:p w14:paraId="5AEE07E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r>
      <w:tr w:rsidR="0042053A" w:rsidRPr="00B10D24" w14:paraId="2E50F2A1" w14:textId="77777777" w:rsidTr="00206464">
        <w:tc>
          <w:tcPr>
            <w:tcW w:w="3236" w:type="pct"/>
            <w:shd w:val="clear" w:color="auto" w:fill="auto"/>
            <w:vAlign w:val="bottom"/>
          </w:tcPr>
          <w:p w14:paraId="7E3563AE"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22.</w:t>
            </w:r>
            <w:r w:rsidRPr="00B10D24">
              <w:rPr>
                <w:color w:val="000000" w:themeColor="text1"/>
                <w:sz w:val="17"/>
                <w:lang w:val="en-GB"/>
              </w:rPr>
              <w:tab/>
              <w:t xml:space="preserve">Guide for land management and spatial plans for poverty reduction and spatial equality </w:t>
            </w:r>
          </w:p>
        </w:tc>
        <w:tc>
          <w:tcPr>
            <w:tcW w:w="441" w:type="pct"/>
            <w:shd w:val="clear" w:color="auto" w:fill="auto"/>
            <w:vAlign w:val="bottom"/>
          </w:tcPr>
          <w:p w14:paraId="613E125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2553088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7D7BB46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2</w:t>
            </w:r>
          </w:p>
        </w:tc>
        <w:tc>
          <w:tcPr>
            <w:tcW w:w="441" w:type="pct"/>
            <w:shd w:val="clear" w:color="auto" w:fill="auto"/>
            <w:vAlign w:val="bottom"/>
          </w:tcPr>
          <w:p w14:paraId="0DC3DF0F"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1</w:t>
            </w:r>
          </w:p>
        </w:tc>
      </w:tr>
      <w:tr w:rsidR="0042053A" w:rsidRPr="00B10D24" w14:paraId="7567E5CB" w14:textId="77777777" w:rsidTr="00206464">
        <w:tc>
          <w:tcPr>
            <w:tcW w:w="3236" w:type="pct"/>
            <w:shd w:val="clear" w:color="auto" w:fill="auto"/>
            <w:vAlign w:val="bottom"/>
          </w:tcPr>
          <w:p w14:paraId="7278DC7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23.</w:t>
            </w:r>
            <w:r w:rsidRPr="00B10D24">
              <w:rPr>
                <w:color w:val="000000" w:themeColor="text1"/>
                <w:sz w:val="17"/>
                <w:lang w:val="en-GB"/>
              </w:rPr>
              <w:tab/>
              <w:t>Guidelines on the right to adequate housing and prevention of homelessness among those in vulnerable situations, including migrants</w:t>
            </w:r>
          </w:p>
        </w:tc>
        <w:tc>
          <w:tcPr>
            <w:tcW w:w="441" w:type="pct"/>
            <w:shd w:val="clear" w:color="auto" w:fill="auto"/>
            <w:vAlign w:val="bottom"/>
          </w:tcPr>
          <w:p w14:paraId="21AE69C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3B1C686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4BDD4BD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2</w:t>
            </w:r>
          </w:p>
        </w:tc>
        <w:tc>
          <w:tcPr>
            <w:tcW w:w="441" w:type="pct"/>
            <w:shd w:val="clear" w:color="auto" w:fill="auto"/>
            <w:vAlign w:val="bottom"/>
          </w:tcPr>
          <w:p w14:paraId="03B2976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1</w:t>
            </w:r>
          </w:p>
        </w:tc>
      </w:tr>
      <w:tr w:rsidR="0042053A" w:rsidRPr="00B10D24" w14:paraId="43A7B8E5" w14:textId="77777777" w:rsidTr="00206464">
        <w:tc>
          <w:tcPr>
            <w:tcW w:w="3236" w:type="pct"/>
            <w:shd w:val="clear" w:color="auto" w:fill="auto"/>
            <w:vAlign w:val="bottom"/>
          </w:tcPr>
          <w:p w14:paraId="2DE79B9A"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24.</w:t>
            </w:r>
            <w:r w:rsidRPr="00B10D24">
              <w:rPr>
                <w:color w:val="000000" w:themeColor="text1"/>
                <w:sz w:val="17"/>
                <w:lang w:val="en-GB"/>
              </w:rPr>
              <w:tab/>
              <w:t>Guide series for innovative land, legal and financial mechanisms in relation to conservation and regeneration</w:t>
            </w:r>
          </w:p>
        </w:tc>
        <w:tc>
          <w:tcPr>
            <w:tcW w:w="441" w:type="pct"/>
            <w:shd w:val="clear" w:color="auto" w:fill="auto"/>
            <w:vAlign w:val="bottom"/>
          </w:tcPr>
          <w:p w14:paraId="29492A5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76EA9C8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2182EA9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366E61B9"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1</w:t>
            </w:r>
          </w:p>
        </w:tc>
      </w:tr>
      <w:tr w:rsidR="0042053A" w:rsidRPr="00B10D24" w14:paraId="367029B1" w14:textId="77777777" w:rsidTr="00206464">
        <w:tc>
          <w:tcPr>
            <w:tcW w:w="3236" w:type="pct"/>
            <w:shd w:val="clear" w:color="auto" w:fill="auto"/>
            <w:vAlign w:val="bottom"/>
          </w:tcPr>
          <w:p w14:paraId="146CF5FF"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25.</w:t>
            </w:r>
            <w:r w:rsidRPr="00B10D24">
              <w:rPr>
                <w:color w:val="000000" w:themeColor="text1"/>
                <w:sz w:val="17"/>
                <w:lang w:val="en-GB"/>
              </w:rPr>
              <w:tab/>
              <w:t>Toolkits, housing profiles and technical guides for city leaders on planning, on managing and implementing affordable and sustainable housing and on slum upgrading programmes</w:t>
            </w:r>
          </w:p>
        </w:tc>
        <w:tc>
          <w:tcPr>
            <w:tcW w:w="441" w:type="pct"/>
            <w:shd w:val="clear" w:color="auto" w:fill="auto"/>
            <w:vAlign w:val="bottom"/>
          </w:tcPr>
          <w:p w14:paraId="3325F215"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51C4DD2E"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0866077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4</w:t>
            </w:r>
          </w:p>
        </w:tc>
        <w:tc>
          <w:tcPr>
            <w:tcW w:w="441" w:type="pct"/>
            <w:shd w:val="clear" w:color="auto" w:fill="auto"/>
            <w:vAlign w:val="bottom"/>
          </w:tcPr>
          <w:p w14:paraId="4D399E06"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2</w:t>
            </w:r>
          </w:p>
        </w:tc>
      </w:tr>
      <w:tr w:rsidR="0042053A" w:rsidRPr="00B10D24" w14:paraId="55830031" w14:textId="77777777" w:rsidTr="00206464">
        <w:tc>
          <w:tcPr>
            <w:tcW w:w="3236" w:type="pct"/>
            <w:shd w:val="clear" w:color="auto" w:fill="auto"/>
            <w:vAlign w:val="bottom"/>
          </w:tcPr>
          <w:p w14:paraId="07FC392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67"/>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26.</w:t>
            </w:r>
            <w:r w:rsidRPr="00B10D24">
              <w:rPr>
                <w:color w:val="000000" w:themeColor="text1"/>
                <w:sz w:val="17"/>
                <w:lang w:val="en-GB"/>
              </w:rPr>
              <w:tab/>
              <w:t>Series of guides and tools to improve land management and tenure security</w:t>
            </w:r>
          </w:p>
        </w:tc>
        <w:tc>
          <w:tcPr>
            <w:tcW w:w="441" w:type="pct"/>
            <w:shd w:val="clear" w:color="auto" w:fill="auto"/>
            <w:vAlign w:val="bottom"/>
          </w:tcPr>
          <w:p w14:paraId="72295C7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37CC3BA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311894F0"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2</w:t>
            </w:r>
          </w:p>
        </w:tc>
        <w:tc>
          <w:tcPr>
            <w:tcW w:w="441" w:type="pct"/>
            <w:shd w:val="clear" w:color="auto" w:fill="auto"/>
            <w:vAlign w:val="bottom"/>
          </w:tcPr>
          <w:p w14:paraId="171681EC"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1</w:t>
            </w:r>
          </w:p>
        </w:tc>
      </w:tr>
      <w:tr w:rsidR="0042053A" w:rsidRPr="00B10D24" w14:paraId="14AA5097" w14:textId="77777777" w:rsidTr="00206464">
        <w:tc>
          <w:tcPr>
            <w:tcW w:w="3236" w:type="pct"/>
            <w:shd w:val="clear" w:color="auto" w:fill="auto"/>
            <w:vAlign w:val="bottom"/>
          </w:tcPr>
          <w:p w14:paraId="1DAB404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27.</w:t>
            </w:r>
            <w:r w:rsidRPr="00B10D24">
              <w:rPr>
                <w:color w:val="000000" w:themeColor="text1"/>
                <w:sz w:val="17"/>
                <w:lang w:val="en-GB"/>
              </w:rPr>
              <w:tab/>
              <w:t>Guidelines and handbooks on slum upgrading solutions</w:t>
            </w:r>
          </w:p>
        </w:tc>
        <w:tc>
          <w:tcPr>
            <w:tcW w:w="441" w:type="pct"/>
            <w:shd w:val="clear" w:color="auto" w:fill="auto"/>
            <w:vAlign w:val="bottom"/>
          </w:tcPr>
          <w:p w14:paraId="4DCCB90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41E3435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469A6B58"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3</w:t>
            </w:r>
          </w:p>
        </w:tc>
        <w:tc>
          <w:tcPr>
            <w:tcW w:w="441" w:type="pct"/>
            <w:shd w:val="clear" w:color="auto" w:fill="auto"/>
            <w:vAlign w:val="bottom"/>
          </w:tcPr>
          <w:p w14:paraId="2D14DE8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2</w:t>
            </w:r>
          </w:p>
        </w:tc>
      </w:tr>
      <w:tr w:rsidR="0042053A" w:rsidRPr="00B10D24" w14:paraId="639B9CEC" w14:textId="77777777" w:rsidTr="00206464">
        <w:trPr>
          <w:trHeight w:val="369"/>
        </w:trPr>
        <w:tc>
          <w:tcPr>
            <w:tcW w:w="3236" w:type="pct"/>
            <w:shd w:val="clear" w:color="auto" w:fill="auto"/>
            <w:vAlign w:val="bottom"/>
          </w:tcPr>
          <w:p w14:paraId="64E27F61"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color w:val="000000" w:themeColor="text1"/>
                <w:sz w:val="17"/>
                <w:lang w:val="en-GB"/>
              </w:rPr>
            </w:pPr>
            <w:r w:rsidRPr="00B10D24">
              <w:rPr>
                <w:color w:val="000000" w:themeColor="text1"/>
                <w:sz w:val="17"/>
                <w:lang w:val="en-GB"/>
              </w:rPr>
              <w:tab/>
              <w:t>28.</w:t>
            </w:r>
            <w:r w:rsidRPr="00B10D24">
              <w:rPr>
                <w:color w:val="000000" w:themeColor="text1"/>
                <w:sz w:val="17"/>
                <w:lang w:val="en-GB"/>
              </w:rPr>
              <w:tab/>
              <w:t>Neighbourhood planning guidelines on participation and inclusive regeneration</w:t>
            </w:r>
          </w:p>
        </w:tc>
        <w:tc>
          <w:tcPr>
            <w:tcW w:w="441" w:type="pct"/>
            <w:shd w:val="clear" w:color="auto" w:fill="auto"/>
            <w:vAlign w:val="bottom"/>
          </w:tcPr>
          <w:p w14:paraId="603D93D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355E672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c>
          <w:tcPr>
            <w:tcW w:w="441" w:type="pct"/>
            <w:shd w:val="clear" w:color="auto" w:fill="auto"/>
            <w:vAlign w:val="bottom"/>
          </w:tcPr>
          <w:p w14:paraId="01A7B277"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1</w:t>
            </w:r>
          </w:p>
        </w:tc>
        <w:tc>
          <w:tcPr>
            <w:tcW w:w="441" w:type="pct"/>
            <w:shd w:val="clear" w:color="auto" w:fill="auto"/>
            <w:vAlign w:val="bottom"/>
          </w:tcPr>
          <w:p w14:paraId="19761F4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right"/>
              <w:rPr>
                <w:color w:val="000000" w:themeColor="text1"/>
                <w:sz w:val="17"/>
                <w:lang w:val="en-GB"/>
              </w:rPr>
            </w:pPr>
            <w:r w:rsidRPr="00B10D24">
              <w:rPr>
                <w:color w:val="000000" w:themeColor="text1"/>
                <w:sz w:val="17"/>
                <w:lang w:val="en-GB"/>
              </w:rPr>
              <w:t>–</w:t>
            </w:r>
          </w:p>
        </w:tc>
      </w:tr>
      <w:tr w:rsidR="0042053A" w:rsidRPr="00B10D24" w14:paraId="36ECF0B3" w14:textId="77777777" w:rsidTr="00206464">
        <w:trPr>
          <w:trHeight w:val="20"/>
        </w:trPr>
        <w:tc>
          <w:tcPr>
            <w:tcW w:w="3236" w:type="pct"/>
            <w:shd w:val="clear" w:color="auto" w:fill="auto"/>
            <w:vAlign w:val="bottom"/>
          </w:tcPr>
          <w:p w14:paraId="63DFE7CE"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color w:val="000000" w:themeColor="text1"/>
                <w:sz w:val="17"/>
                <w:szCs w:val="17"/>
                <w:lang w:val="en-GB"/>
              </w:rPr>
            </w:pPr>
            <w:r w:rsidRPr="00B10D24">
              <w:rPr>
                <w:b/>
                <w:bCs/>
                <w:color w:val="000000" w:themeColor="text1"/>
                <w:sz w:val="17"/>
                <w:szCs w:val="17"/>
                <w:lang w:val="en-GB"/>
              </w:rPr>
              <w:t>C.</w:t>
            </w:r>
            <w:r w:rsidRPr="00B10D24">
              <w:rPr>
                <w:b/>
                <w:bCs/>
                <w:color w:val="000000" w:themeColor="text1"/>
                <w:sz w:val="17"/>
                <w:szCs w:val="17"/>
                <w:lang w:val="en-GB"/>
              </w:rPr>
              <w:tab/>
              <w:t>Substantive deliverables</w:t>
            </w:r>
          </w:p>
        </w:tc>
        <w:tc>
          <w:tcPr>
            <w:tcW w:w="441" w:type="pct"/>
            <w:shd w:val="clear" w:color="auto" w:fill="auto"/>
            <w:vAlign w:val="bottom"/>
          </w:tcPr>
          <w:p w14:paraId="1FCCB8B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color w:val="000000" w:themeColor="text1"/>
                <w:sz w:val="17"/>
                <w:szCs w:val="17"/>
                <w:lang w:val="en-GB"/>
              </w:rPr>
            </w:pPr>
          </w:p>
        </w:tc>
        <w:tc>
          <w:tcPr>
            <w:tcW w:w="441" w:type="pct"/>
            <w:shd w:val="clear" w:color="auto" w:fill="auto"/>
            <w:vAlign w:val="bottom"/>
          </w:tcPr>
          <w:p w14:paraId="0BD7B12F"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color w:val="000000" w:themeColor="text1"/>
                <w:sz w:val="17"/>
                <w:szCs w:val="17"/>
                <w:lang w:val="en-GB"/>
              </w:rPr>
            </w:pPr>
          </w:p>
        </w:tc>
        <w:tc>
          <w:tcPr>
            <w:tcW w:w="441" w:type="pct"/>
            <w:shd w:val="clear" w:color="auto" w:fill="auto"/>
            <w:vAlign w:val="bottom"/>
          </w:tcPr>
          <w:p w14:paraId="6CB503F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color w:val="000000" w:themeColor="text1"/>
                <w:sz w:val="17"/>
                <w:szCs w:val="17"/>
                <w:lang w:val="en-GB"/>
              </w:rPr>
            </w:pPr>
          </w:p>
        </w:tc>
        <w:tc>
          <w:tcPr>
            <w:tcW w:w="441" w:type="pct"/>
            <w:shd w:val="clear" w:color="auto" w:fill="auto"/>
            <w:vAlign w:val="bottom"/>
          </w:tcPr>
          <w:p w14:paraId="77669EF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right"/>
              <w:rPr>
                <w:b/>
                <w:bCs/>
                <w:color w:val="000000" w:themeColor="text1"/>
                <w:sz w:val="17"/>
                <w:szCs w:val="17"/>
                <w:lang w:val="en-GB"/>
              </w:rPr>
            </w:pPr>
          </w:p>
        </w:tc>
      </w:tr>
      <w:tr w:rsidR="0042053A" w:rsidRPr="00B10D24" w14:paraId="78BCC94D" w14:textId="77777777" w:rsidTr="00206464">
        <w:trPr>
          <w:trHeight w:val="369"/>
        </w:trPr>
        <w:tc>
          <w:tcPr>
            <w:tcW w:w="5000" w:type="pct"/>
            <w:gridSpan w:val="5"/>
            <w:shd w:val="clear" w:color="auto" w:fill="auto"/>
            <w:vAlign w:val="bottom"/>
          </w:tcPr>
          <w:p w14:paraId="3ADAD8D2"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color w:val="000000" w:themeColor="text1"/>
                <w:sz w:val="17"/>
                <w:szCs w:val="17"/>
                <w:lang w:val="en-GB"/>
              </w:rPr>
            </w:pPr>
            <w:r w:rsidRPr="00B10D24">
              <w:rPr>
                <w:b/>
                <w:bCs/>
                <w:color w:val="000000" w:themeColor="text1"/>
                <w:sz w:val="17"/>
                <w:szCs w:val="17"/>
                <w:lang w:val="en-GB"/>
              </w:rPr>
              <w:tab/>
              <w:t>Consultation, advice and advocacy</w:t>
            </w:r>
            <w:r w:rsidRPr="00B10D24">
              <w:rPr>
                <w:color w:val="000000" w:themeColor="text1"/>
                <w:sz w:val="17"/>
                <w:szCs w:val="17"/>
                <w:lang w:val="en-GB"/>
              </w:rPr>
              <w:t>: technical advice to all requesting Member States on reporting, monitoring and implementation of the New Urban Agenda and the Sustainable Development Goals, including advisory services on Goal reporting, data collection, analysis and monitoring of indicators, namely on Goal targets and indicators 11.1, 11.3.1, 11.3.2 and 11.7.1, leveraging the New Urban Agenda online platform and incorporating best practices; advisory services to 22 Member States on the right to adequate housing and tenure security for those in vulnerable situations, housing policies, urban law reform and compliance for regeneration and urban growth as well as effective regeneration and growth management through: inclusive territorial and urban planning and design, inclusive and participatory governance, public space design and management, design labs, planned city extensions, city infill and heritage preservation; technical advice on urban regeneration and heritage conservation, urban land administration and management to different stakeholders (United Nations agencies, national and local governments, non‑governmental organizations, grassroots organizations); activities to strengthen partnerships and existing networks.</w:t>
            </w:r>
          </w:p>
        </w:tc>
      </w:tr>
      <w:tr w:rsidR="0042053A" w:rsidRPr="00B10D24" w14:paraId="39E21110" w14:textId="77777777" w:rsidTr="00206464">
        <w:trPr>
          <w:trHeight w:val="369"/>
        </w:trPr>
        <w:tc>
          <w:tcPr>
            <w:tcW w:w="5000" w:type="pct"/>
            <w:gridSpan w:val="5"/>
            <w:shd w:val="clear" w:color="auto" w:fill="auto"/>
            <w:vAlign w:val="bottom"/>
          </w:tcPr>
          <w:p w14:paraId="7D838714"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color w:val="000000" w:themeColor="text1"/>
                <w:sz w:val="17"/>
                <w:szCs w:val="17"/>
                <w:lang w:val="en-GB"/>
              </w:rPr>
            </w:pPr>
            <w:r w:rsidRPr="00B10D24">
              <w:rPr>
                <w:b/>
                <w:bCs/>
                <w:color w:val="000000" w:themeColor="text1"/>
                <w:sz w:val="17"/>
                <w:szCs w:val="17"/>
                <w:lang w:val="en-GB"/>
              </w:rPr>
              <w:tab/>
              <w:t>Databases and substantive digital materials</w:t>
            </w:r>
            <w:r w:rsidRPr="00B10D24">
              <w:rPr>
                <w:color w:val="000000" w:themeColor="text1"/>
                <w:sz w:val="17"/>
                <w:szCs w:val="17"/>
                <w:lang w:val="en-GB"/>
              </w:rPr>
              <w:t>: Upon request, data collection on land-related global commitments along the rural-urban nexus and online solutions to tackle issues on urban basic services, sustainable mobility, energy, water and sanitation, solid waste management, housing, urban air quality and climate change mitigation; integrated and open digital platforms on urban safety, heritage, regeneration, urban growth; awareness-raising materials and information databases on cultural heritage and identity for urban dwellers, the Global Urban Indicators database and UrbanLex – Urban Law database; the New Urban Agenda online platform.</w:t>
            </w:r>
          </w:p>
        </w:tc>
      </w:tr>
      <w:tr w:rsidR="0042053A" w:rsidRPr="00B10D24" w14:paraId="39C8A358" w14:textId="77777777" w:rsidTr="00206464">
        <w:trPr>
          <w:trHeight w:val="20"/>
        </w:trPr>
        <w:tc>
          <w:tcPr>
            <w:tcW w:w="5000" w:type="pct"/>
            <w:gridSpan w:val="5"/>
            <w:shd w:val="clear" w:color="auto" w:fill="auto"/>
            <w:vAlign w:val="bottom"/>
          </w:tcPr>
          <w:p w14:paraId="30B563F6"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3"/>
              <w:jc w:val="left"/>
              <w:rPr>
                <w:b/>
                <w:bCs/>
                <w:color w:val="000000" w:themeColor="text1"/>
                <w:sz w:val="17"/>
                <w:szCs w:val="17"/>
                <w:lang w:val="en-GB"/>
              </w:rPr>
            </w:pPr>
            <w:r w:rsidRPr="00B10D24">
              <w:rPr>
                <w:b/>
                <w:bCs/>
                <w:color w:val="000000" w:themeColor="text1"/>
                <w:sz w:val="17"/>
                <w:szCs w:val="17"/>
                <w:lang w:val="en-GB"/>
              </w:rPr>
              <w:lastRenderedPageBreak/>
              <w:t>D.</w:t>
            </w:r>
            <w:r w:rsidRPr="00B10D24">
              <w:rPr>
                <w:b/>
                <w:bCs/>
                <w:color w:val="000000" w:themeColor="text1"/>
                <w:sz w:val="17"/>
                <w:szCs w:val="17"/>
                <w:lang w:val="en-GB"/>
              </w:rPr>
              <w:tab/>
              <w:t>Communication deliverables</w:t>
            </w:r>
          </w:p>
        </w:tc>
      </w:tr>
      <w:tr w:rsidR="0042053A" w:rsidRPr="00B10D24" w14:paraId="69AB7B57" w14:textId="77777777" w:rsidTr="00206464">
        <w:trPr>
          <w:trHeight w:val="369"/>
        </w:trPr>
        <w:tc>
          <w:tcPr>
            <w:tcW w:w="5000" w:type="pct"/>
            <w:gridSpan w:val="5"/>
            <w:shd w:val="clear" w:color="auto" w:fill="auto"/>
            <w:vAlign w:val="bottom"/>
          </w:tcPr>
          <w:p w14:paraId="612F2BAD"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b/>
                <w:bCs/>
                <w:color w:val="000000" w:themeColor="text1"/>
                <w:sz w:val="17"/>
                <w:szCs w:val="17"/>
                <w:lang w:val="en-GB"/>
              </w:rPr>
            </w:pPr>
            <w:r w:rsidRPr="00B10D24">
              <w:rPr>
                <w:b/>
                <w:bCs/>
                <w:color w:val="000000" w:themeColor="text1"/>
                <w:sz w:val="17"/>
                <w:szCs w:val="17"/>
                <w:lang w:val="en-GB"/>
              </w:rPr>
              <w:tab/>
              <w:t>Outreach programmes, special events and information materials</w:t>
            </w:r>
            <w:r w:rsidRPr="00B10D24">
              <w:rPr>
                <w:color w:val="000000" w:themeColor="text1"/>
                <w:sz w:val="17"/>
                <w:szCs w:val="17"/>
                <w:lang w:val="en-GB"/>
              </w:rPr>
              <w:t>: advocacy materials, brochures, leaflets and profiles featuring the work of the subprogramme; networks to disseminate information, including the Global Network of Public Space with some 100 members; in partnership with the municipality of Dubai, United Arab Emirates, sponsorship of Best Practices Award in Urban Regeneration and Public Spaces (case studies published/articles); social media advocacy provided on women’s empowerment, youth empowerment and disability-friendly cities, especially with regard to urban regeneration and public space; communication materials on urban land governance and management; partnerships and cross-learning activities (the Global Land Tool Network) for achieving sustainable urbanization.</w:t>
            </w:r>
          </w:p>
        </w:tc>
      </w:tr>
      <w:tr w:rsidR="0042053A" w:rsidRPr="00B10D24" w14:paraId="2347DE77" w14:textId="77777777" w:rsidTr="00206464">
        <w:trPr>
          <w:trHeight w:val="369"/>
        </w:trPr>
        <w:tc>
          <w:tcPr>
            <w:tcW w:w="5000" w:type="pct"/>
            <w:gridSpan w:val="5"/>
            <w:shd w:val="clear" w:color="auto" w:fill="auto"/>
            <w:vAlign w:val="bottom"/>
          </w:tcPr>
          <w:p w14:paraId="72A79D3B"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b/>
                <w:bCs/>
                <w:color w:val="000000" w:themeColor="text1"/>
                <w:sz w:val="17"/>
                <w:szCs w:val="17"/>
                <w:lang w:val="en-GB"/>
              </w:rPr>
            </w:pPr>
            <w:r w:rsidRPr="00B10D24">
              <w:rPr>
                <w:b/>
                <w:bCs/>
                <w:color w:val="000000" w:themeColor="text1"/>
                <w:sz w:val="17"/>
                <w:szCs w:val="17"/>
                <w:lang w:val="en-GB"/>
              </w:rPr>
              <w:tab/>
              <w:t>External and media relations</w:t>
            </w:r>
            <w:r w:rsidRPr="00B10D24">
              <w:rPr>
                <w:color w:val="000000" w:themeColor="text1"/>
                <w:sz w:val="17"/>
                <w:szCs w:val="17"/>
                <w:lang w:val="en-GB"/>
              </w:rPr>
              <w:t>: media kits, press releases, web stories and social media updates and, upon request, events with 500 participants, 20 non-governmental organizations and 50 cities on slum upgrading, urban renewal, public space and affordable and adequate housing, urban land governance and management, partnerships and cross-learning activities with partner organizations.</w:t>
            </w:r>
          </w:p>
        </w:tc>
      </w:tr>
      <w:tr w:rsidR="0042053A" w:rsidRPr="00B10D24" w14:paraId="64C504C4" w14:textId="77777777" w:rsidTr="00206464">
        <w:trPr>
          <w:trHeight w:val="369"/>
        </w:trPr>
        <w:tc>
          <w:tcPr>
            <w:tcW w:w="5000" w:type="pct"/>
            <w:gridSpan w:val="5"/>
            <w:tcBorders>
              <w:bottom w:val="single" w:sz="12" w:space="0" w:color="auto"/>
            </w:tcBorders>
            <w:shd w:val="clear" w:color="auto" w:fill="auto"/>
            <w:vAlign w:val="bottom"/>
          </w:tcPr>
          <w:p w14:paraId="172E42CA" w14:textId="77777777" w:rsidR="0042053A" w:rsidRPr="00B10D24" w:rsidRDefault="0042053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b/>
                <w:bCs/>
                <w:color w:val="000000" w:themeColor="text1"/>
                <w:sz w:val="17"/>
                <w:szCs w:val="17"/>
                <w:lang w:val="en-GB"/>
              </w:rPr>
            </w:pPr>
            <w:r w:rsidRPr="00B10D24">
              <w:rPr>
                <w:b/>
                <w:bCs/>
                <w:color w:val="000000" w:themeColor="text1"/>
                <w:sz w:val="17"/>
                <w:szCs w:val="17"/>
                <w:lang w:val="en-GB"/>
              </w:rPr>
              <w:tab/>
              <w:t>Digital platforms and multimedia content</w:t>
            </w:r>
            <w:r w:rsidRPr="00B10D24">
              <w:rPr>
                <w:color w:val="000000" w:themeColor="text1"/>
                <w:sz w:val="17"/>
                <w:szCs w:val="17"/>
                <w:lang w:val="en-GB"/>
              </w:rPr>
              <w:t>:</w:t>
            </w:r>
            <w:r w:rsidRPr="00B10D24">
              <w:rPr>
                <w:b/>
                <w:bCs/>
                <w:color w:val="000000" w:themeColor="text1"/>
                <w:sz w:val="17"/>
                <w:szCs w:val="17"/>
                <w:lang w:val="en-GB"/>
              </w:rPr>
              <w:t xml:space="preserve"> </w:t>
            </w:r>
            <w:r w:rsidRPr="00B10D24">
              <w:rPr>
                <w:color w:val="000000" w:themeColor="text1"/>
                <w:sz w:val="17"/>
                <w:szCs w:val="17"/>
                <w:lang w:val="en-GB"/>
              </w:rPr>
              <w:t>maintenance of social media accounts to enhance information on urban basic services, public space, sustainable mobility, land, slum upgrading, housing and regeneration; multimedia content, including video documentaries, infographics, presentations and webinars; start-up version of a global database of urban plans.</w:t>
            </w:r>
          </w:p>
        </w:tc>
      </w:tr>
      <w:bookmarkEnd w:id="6"/>
    </w:tbl>
    <w:p w14:paraId="7554B4AF" w14:textId="77777777" w:rsidR="0042053A" w:rsidRPr="00B10D24" w:rsidRDefault="0042053A" w:rsidP="0042053A">
      <w:pPr>
        <w:spacing w:line="120" w:lineRule="exact"/>
        <w:rPr>
          <w:sz w:val="10"/>
        </w:rPr>
      </w:pPr>
    </w:p>
    <w:p w14:paraId="4DA4837A" w14:textId="6CD8807A" w:rsidR="0042053A" w:rsidRDefault="0042053A" w:rsidP="0042053A">
      <w:pPr>
        <w:pStyle w:val="FootnoteText"/>
        <w:tabs>
          <w:tab w:val="clear" w:pos="418"/>
          <w:tab w:val="right" w:pos="216"/>
          <w:tab w:val="left" w:pos="288"/>
          <w:tab w:val="right" w:pos="576"/>
          <w:tab w:val="left" w:pos="648"/>
        </w:tabs>
        <w:ind w:left="288" w:hanging="288"/>
      </w:pPr>
      <w:r w:rsidRPr="00B10D24">
        <w:tab/>
      </w:r>
      <w:r w:rsidRPr="00B10D24">
        <w:rPr>
          <w:i/>
          <w:iCs/>
          <w:vertAlign w:val="superscript"/>
        </w:rPr>
        <w:t>a</w:t>
      </w:r>
      <w:r w:rsidRPr="00B10D24">
        <w:tab/>
        <w:t>The 2022 planned deliverables, to be funded from the foundation non-earmarked fund, have been adjusted downward, taking into account the resources approved by the Executive Board of $10.0 million for 2021 and a budget ceiling figure of $12.0 million in 2022, as shown in table 15.14.</w:t>
      </w:r>
    </w:p>
    <w:p w14:paraId="48C5B6EA" w14:textId="373B796A" w:rsidR="0042053A" w:rsidRPr="0042053A" w:rsidRDefault="0042053A" w:rsidP="0042053A">
      <w:pPr>
        <w:pStyle w:val="SingleTxt"/>
        <w:spacing w:after="0" w:line="120" w:lineRule="exact"/>
        <w:rPr>
          <w:sz w:val="10"/>
        </w:rPr>
      </w:pPr>
    </w:p>
    <w:p w14:paraId="7FADB8FC" w14:textId="469EA7D0" w:rsidR="0042053A" w:rsidRPr="0042053A" w:rsidRDefault="0042053A" w:rsidP="0042053A">
      <w:pPr>
        <w:pStyle w:val="SingleTxt"/>
        <w:spacing w:after="0" w:line="120" w:lineRule="exact"/>
        <w:rPr>
          <w:sz w:val="10"/>
        </w:rPr>
      </w:pPr>
    </w:p>
    <w:p w14:paraId="4F98B19A" w14:textId="2FE22F06" w:rsidR="0042053A" w:rsidRPr="0042053A" w:rsidRDefault="0042053A" w:rsidP="0042053A">
      <w:pPr>
        <w:pStyle w:val="SingleTxt"/>
        <w:spacing w:after="0" w:line="120" w:lineRule="exact"/>
        <w:rPr>
          <w:sz w:val="10"/>
        </w:rPr>
      </w:pPr>
    </w:p>
    <w:p w14:paraId="3B54BA5C" w14:textId="77777777" w:rsidR="0042053A" w:rsidRPr="00B10D24" w:rsidRDefault="0042053A" w:rsidP="0042053A">
      <w:pPr>
        <w:pStyle w:val="H1"/>
        <w:ind w:right="1260"/>
      </w:pPr>
      <w:r w:rsidRPr="00B10D24">
        <w:tab/>
      </w:r>
      <w:r w:rsidRPr="00B10D24">
        <w:tab/>
        <w:t>Subprogramme 2</w:t>
      </w:r>
    </w:p>
    <w:p w14:paraId="3C7E297F" w14:textId="77777777" w:rsidR="0042053A" w:rsidRPr="00B10D24" w:rsidRDefault="0042053A" w:rsidP="0042053A">
      <w:pPr>
        <w:pStyle w:val="H1"/>
        <w:ind w:right="1260"/>
      </w:pPr>
      <w:r w:rsidRPr="00B10D24">
        <w:tab/>
      </w:r>
      <w:r w:rsidRPr="00B10D24">
        <w:tab/>
        <w:t>Enhanced shared prosperity of cities and regions</w:t>
      </w:r>
    </w:p>
    <w:p w14:paraId="4F0AD151"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D0CE4A5"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2AC6E14" w14:textId="77777777" w:rsidR="0042053A" w:rsidRPr="00B10D24" w:rsidRDefault="0042053A" w:rsidP="0042053A">
      <w:pPr>
        <w:pStyle w:val="H1"/>
        <w:ind w:right="1260"/>
      </w:pPr>
      <w:r w:rsidRPr="00B10D24">
        <w:tab/>
      </w:r>
      <w:r w:rsidRPr="00B10D24">
        <w:tab/>
        <w:t>Objective</w:t>
      </w:r>
    </w:p>
    <w:p w14:paraId="4C07AA8A" w14:textId="77777777" w:rsidR="0042053A" w:rsidRPr="00B10D24" w:rsidRDefault="0042053A" w:rsidP="0042053A">
      <w:pPr>
        <w:pStyle w:val="SingleTxt"/>
        <w:spacing w:after="0" w:line="120" w:lineRule="exact"/>
        <w:rPr>
          <w:sz w:val="10"/>
        </w:rPr>
      </w:pPr>
    </w:p>
    <w:p w14:paraId="5D264F97" w14:textId="77777777" w:rsidR="0042053A" w:rsidRPr="00B10D24" w:rsidRDefault="0042053A" w:rsidP="0042053A">
      <w:pPr>
        <w:pStyle w:val="SingleTxt"/>
        <w:spacing w:after="0" w:line="120" w:lineRule="exact"/>
        <w:rPr>
          <w:sz w:val="10"/>
        </w:rPr>
      </w:pPr>
    </w:p>
    <w:p w14:paraId="21C83D6E"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15.54</w:t>
      </w:r>
      <w:r w:rsidRPr="00B10D24">
        <w:tab/>
        <w:t>The objective, to which this subprogramme contributes, is to enhance the shared prosperity of cities and regions through improved spatial connectivity and productivity, increased and equitably distributed locally generated revenue and expanded deployment of frontier technologies and innovation.</w:t>
      </w:r>
    </w:p>
    <w:p w14:paraId="19E97C2E"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D4DB4AC"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918FAA9" w14:textId="77777777" w:rsidR="0042053A" w:rsidRPr="00B10D24" w:rsidRDefault="0042053A" w:rsidP="0042053A">
      <w:pPr>
        <w:pStyle w:val="H1"/>
        <w:ind w:right="1260"/>
      </w:pPr>
      <w:r w:rsidRPr="00B10D24">
        <w:tab/>
      </w:r>
      <w:r w:rsidRPr="00B10D24">
        <w:tab/>
        <w:t>Strategy</w:t>
      </w:r>
    </w:p>
    <w:p w14:paraId="6E54E681" w14:textId="77777777" w:rsidR="0042053A" w:rsidRPr="00B10D24" w:rsidRDefault="0042053A" w:rsidP="0042053A">
      <w:pPr>
        <w:pStyle w:val="SingleTxt"/>
        <w:spacing w:after="0" w:line="120" w:lineRule="exact"/>
        <w:rPr>
          <w:sz w:val="10"/>
        </w:rPr>
      </w:pPr>
    </w:p>
    <w:p w14:paraId="4A1BDD25" w14:textId="77777777" w:rsidR="0042053A" w:rsidRPr="00B10D24" w:rsidRDefault="0042053A" w:rsidP="0042053A">
      <w:pPr>
        <w:pStyle w:val="SingleTxt"/>
        <w:spacing w:after="0" w:line="120" w:lineRule="exact"/>
        <w:rPr>
          <w:sz w:val="10"/>
        </w:rPr>
      </w:pPr>
    </w:p>
    <w:p w14:paraId="29FFBF11"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15.55</w:t>
      </w:r>
      <w:r w:rsidRPr="00B10D24">
        <w:tab/>
        <w:t xml:space="preserve">To contribute to the objective, the subprogramme will support Member States and other partners in enhancing the contribution made by urbanization to productivity and inclusive economic development through the formulation of national urban policies and related legal, financial and implementation frameworks integrated into whole-of-government planning, policy and financing frameworks; knowledge transfer; capacity-building; and the development of tools on urban and rural territorial planning and design. This work helps Member States make progress towards achieving the Sustainable Development Goals, in particular Goal 1 and Goal 11. </w:t>
      </w:r>
    </w:p>
    <w:p w14:paraId="5351B4DC"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15.56</w:t>
      </w:r>
      <w:r w:rsidRPr="00B10D24">
        <w:tab/>
        <w:t xml:space="preserve">The subprogramme will also provide technical assistance and capacity-building and advisory services to cities with regard to developing participatory budgeting approaches and optimizing local revenue systems through data collection and the development of municipal databases, sharing case studies on revenue optimization and participatory approaches and developing guidelines on local revenue generation. In addition, it will explore and realize additional opportunities to leverage private sources of capital to achieve sustainable urban development. Emphasis will be placed on using frontier technology to increase the efficiency of urban management and digitizing revenue systems and performance monitoring. This work will help Member States make progress towards achieving Sustainable Development Goal 8 on decent work and economic growth. </w:t>
      </w:r>
    </w:p>
    <w:p w14:paraId="009432EB"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15.57</w:t>
      </w:r>
      <w:r w:rsidRPr="00B10D24">
        <w:tab/>
        <w:t xml:space="preserve">Furthermore, the subprogramme will strengthen the capacity of national and local governments to effectively procure, test and implement frontier technologies and innovations such as sensor networks, machine-to-machine communication, artificial intelligence, virtual and augmented reality, </w:t>
      </w:r>
      <w:r w:rsidRPr="00B10D24">
        <w:lastRenderedPageBreak/>
        <w:t>geographic information systems, remote sensing and big data processing and visualization, while supporting their digital transition. This work will support Member States in making progress towards achieving Sustainable Development Goal 9 on industry, innovation and infrastructure.</w:t>
      </w:r>
    </w:p>
    <w:p w14:paraId="5072106D"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15.58</w:t>
      </w:r>
      <w:r w:rsidRPr="00B10D24">
        <w:tab/>
        <w:t>The subprogramme plans to support Member States on issues related to COVID-19 by providing a territorial framework for socioeconomic recovery from COVID-19, climate action and safeguarding the environment and biodiversity; ensuring that economic recovery measures support green urban recovery that helps drive climate action and progress towards the achievement of the Sustainable Development Goals; and placing a stronger focus on the recovery of locally generated revenue (including land-based financing) as a way to help alleviate the socioeconomic impact of COVID-19.</w:t>
      </w:r>
    </w:p>
    <w:p w14:paraId="42ED0223"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15.59</w:t>
      </w:r>
      <w:r w:rsidRPr="00B10D24">
        <w:tab/>
        <w:t>The above-mentioned work is expected to result in:</w:t>
      </w:r>
    </w:p>
    <w:p w14:paraId="1977C42C"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B10D24">
        <w:tab/>
      </w:r>
      <w:r w:rsidRPr="00B10D24">
        <w:tab/>
        <w:t>(a)</w:t>
      </w:r>
      <w:r w:rsidRPr="00B10D24">
        <w:tab/>
        <w:t xml:space="preserve">Balanced territorial development and better-connected human settlements, while contributing to improved social inclusivity, poverty reduction and climate action; </w:t>
      </w:r>
    </w:p>
    <w:p w14:paraId="22AD7C17"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B10D24">
        <w:tab/>
      </w:r>
      <w:r w:rsidRPr="00B10D24">
        <w:tab/>
        <w:t>(b)</w:t>
      </w:r>
      <w:r w:rsidRPr="00B10D24">
        <w:tab/>
        <w:t xml:space="preserve">The enactment by local authorities of institutional and legal reforms conducive to the generation of additional financial resources, including through public-private partnerships and land-based revenue and financing tools; </w:t>
      </w:r>
    </w:p>
    <w:p w14:paraId="747E495B"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B10D24">
        <w:tab/>
      </w:r>
      <w:r w:rsidRPr="00B10D24">
        <w:tab/>
        <w:t>(c)</w:t>
      </w:r>
      <w:r w:rsidRPr="00B10D24">
        <w:tab/>
        <w:t xml:space="preserve">Strengthened capacity of cities to address inequalities and bridge social, spatial and digital divides. </w:t>
      </w:r>
    </w:p>
    <w:p w14:paraId="2BD12172"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15.60</w:t>
      </w:r>
      <w:r w:rsidRPr="00B10D24">
        <w:tab/>
        <w:t>The planned support on issues related to COVID-19 is expected to result in improved data on urban COVID-19 hotspots and local responses and improved living standards for the most vulnerable through the provision of clean water supplies, handwashing stations, education and communication materials and protective equipment.</w:t>
      </w:r>
    </w:p>
    <w:p w14:paraId="10FCCFC9"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DBBFC6E"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FCFDA75" w14:textId="77777777" w:rsidR="0042053A" w:rsidRPr="00B10D24" w:rsidRDefault="0042053A" w:rsidP="0042053A">
      <w:pPr>
        <w:pStyle w:val="H1"/>
        <w:ind w:right="1260"/>
      </w:pPr>
      <w:r w:rsidRPr="00B10D24">
        <w:tab/>
      </w:r>
      <w:r w:rsidRPr="00B10D24">
        <w:tab/>
        <w:t>Programme performance in 2020</w:t>
      </w:r>
    </w:p>
    <w:p w14:paraId="23FC93D2" w14:textId="77777777" w:rsidR="0042053A" w:rsidRPr="00B10D24" w:rsidRDefault="0042053A" w:rsidP="0042053A">
      <w:pPr>
        <w:pStyle w:val="SingleTxt"/>
        <w:spacing w:after="0" w:line="120" w:lineRule="exact"/>
        <w:rPr>
          <w:sz w:val="10"/>
        </w:rPr>
      </w:pPr>
    </w:p>
    <w:p w14:paraId="2BBFA68C" w14:textId="77777777" w:rsidR="0042053A" w:rsidRPr="00B10D24" w:rsidRDefault="0042053A" w:rsidP="0042053A">
      <w:pPr>
        <w:pStyle w:val="SingleTxt"/>
        <w:spacing w:after="0" w:line="120" w:lineRule="exact"/>
        <w:rPr>
          <w:sz w:val="10"/>
        </w:rPr>
      </w:pPr>
    </w:p>
    <w:p w14:paraId="726518BB"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15.61</w:t>
      </w:r>
      <w:r w:rsidRPr="00B10D24">
        <w:tab/>
        <w:t>Programme performance in 2020 includes the below result that emerged during 2020, as well as programme performance presented in results 1 and 2 below.</w:t>
      </w:r>
    </w:p>
    <w:p w14:paraId="2B72AFE7"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9D2EF08"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National urban policies as a driver for sustainable urban development</w:t>
      </w:r>
    </w:p>
    <w:p w14:paraId="5C28F5FF" w14:textId="77777777" w:rsidR="0042053A" w:rsidRPr="00B10D24" w:rsidRDefault="0042053A" w:rsidP="0042053A">
      <w:pPr>
        <w:pStyle w:val="SingleTxt"/>
        <w:spacing w:after="0" w:line="120" w:lineRule="exact"/>
        <w:rPr>
          <w:sz w:val="10"/>
        </w:rPr>
      </w:pPr>
    </w:p>
    <w:p w14:paraId="2A722DA7"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15.62</w:t>
      </w:r>
      <w:r w:rsidRPr="00B10D24">
        <w:tab/>
        <w:t>As the world continues to urbanize rapidly, harness urbanization, mitigate its negative externalities and promote an urban paradigm shift, there is a need for a coordinated approach and clear policy direction. National urban policies have been identified as one of the key tools for Governments in promoting sustainable development that cuts across urban, peri-urban and rural areas and support the achievement of the New Urban Agenda and the Sustainable Development Goals. National urban policies were adopted by the Statistical Commission as an indicator for target 11.a of the Sustainable Development Goals in 2020.</w:t>
      </w:r>
    </w:p>
    <w:p w14:paraId="794E165D"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15.63</w:t>
      </w:r>
      <w:r w:rsidRPr="00B10D24">
        <w:tab/>
        <w:t xml:space="preserve">The subprogramme has also been developing normative tools to accompany urban policy development to better address issues including urban-rural linkages, climate change, sustainable mobility, migration, public spaces, green and smart cities and housing. These tools include the following technical materials: </w:t>
      </w:r>
      <w:r w:rsidRPr="00B10D24">
        <w:rPr>
          <w:i/>
          <w:iCs/>
        </w:rPr>
        <w:t>Mainstreaming Urban-Rural Linkages in National Urban Policies; Monitoring and Evaluating National Urban Policy: A Guide; National Urban Policies: Driving Public Space Led Urban Development; Developing National Urban Policies: Ways Forward to Green Smart Cities.</w:t>
      </w:r>
    </w:p>
    <w:p w14:paraId="43BCDE8D"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FB2AF4C" w14:textId="77777777" w:rsidR="0042053A" w:rsidRPr="00B10D24" w:rsidRDefault="0042053A" w:rsidP="0042053A">
      <w:pPr>
        <w:pStyle w:val="H4"/>
        <w:ind w:right="1260"/>
      </w:pPr>
      <w:r w:rsidRPr="00B10D24">
        <w:tab/>
      </w:r>
      <w:r w:rsidRPr="00B10D24">
        <w:tab/>
        <w:t>Progress towards the attainment of the objective, and performance measure</w:t>
      </w:r>
    </w:p>
    <w:p w14:paraId="44FBDBEA" w14:textId="77777777" w:rsidR="0042053A" w:rsidRPr="00B10D24" w:rsidRDefault="0042053A" w:rsidP="0042053A">
      <w:pPr>
        <w:pStyle w:val="SingleTxt"/>
        <w:spacing w:after="0" w:line="120" w:lineRule="exact"/>
        <w:rPr>
          <w:sz w:val="10"/>
        </w:rPr>
      </w:pPr>
    </w:p>
    <w:p w14:paraId="0D3069AA"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15.64</w:t>
      </w:r>
      <w:r w:rsidRPr="00B10D24">
        <w:tab/>
        <w:t>The above-mentioned work contributed to the objective, as demonstrated by the fact that 55 countries developed national urban policies (see figure 15.IV).</w:t>
      </w:r>
    </w:p>
    <w:p w14:paraId="15526771"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55714DF" w14:textId="77777777" w:rsidR="0042053A" w:rsidRPr="00B10D24" w:rsidRDefault="0042053A" w:rsidP="0042053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lastRenderedPageBreak/>
        <w:t>Figure 15.IV</w:t>
      </w:r>
    </w:p>
    <w:p w14:paraId="48C8790A" w14:textId="77777777" w:rsidR="0042053A" w:rsidRPr="00B10D24" w:rsidRDefault="0042053A" w:rsidP="0042053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80" w:hanging="1267"/>
        <w:rPr>
          <w:lang w:val="en-GB"/>
        </w:rPr>
      </w:pPr>
      <w:r w:rsidRPr="00B10D24">
        <w:rPr>
          <w:lang w:val="en-GB"/>
        </w:rPr>
        <w:t>Performance measure: total number of countries developing national urban policies (cumulative)</w:t>
      </w:r>
    </w:p>
    <w:p w14:paraId="4DD86028" w14:textId="68D2A856" w:rsidR="0042053A" w:rsidRPr="00B10D24" w:rsidRDefault="0042053A" w:rsidP="0042053A">
      <w:pPr>
        <w:pStyle w:val="SingleTxt"/>
        <w:keepNext/>
        <w:keepLines/>
        <w:spacing w:after="0" w:line="120" w:lineRule="exact"/>
        <w:rPr>
          <w:sz w:val="10"/>
        </w:rPr>
      </w:pPr>
    </w:p>
    <w:p w14:paraId="00EDAB1D" w14:textId="6B3FE774" w:rsidR="0042053A" w:rsidRPr="00B10D24" w:rsidRDefault="003F219A" w:rsidP="0042053A">
      <w:pPr>
        <w:pStyle w:val="SingleTxt"/>
        <w:keepNext/>
        <w:keepLines/>
        <w:spacing w:after="0" w:line="120" w:lineRule="exact"/>
        <w:rPr>
          <w:sz w:val="10"/>
        </w:rPr>
      </w:pPr>
      <w:r>
        <w:rPr>
          <w:noProof/>
          <w:lang w:val="en-US"/>
        </w:rPr>
        <w:drawing>
          <wp:anchor distT="0" distB="0" distL="114300" distR="114300" simplePos="0" relativeHeight="251671552" behindDoc="0" locked="0" layoutInCell="1" allowOverlap="1" wp14:anchorId="06699F55" wp14:editId="7F39C571">
            <wp:simplePos x="0" y="0"/>
            <wp:positionH relativeFrom="margin">
              <wp:align>right</wp:align>
            </wp:positionH>
            <wp:positionV relativeFrom="paragraph">
              <wp:posOffset>85725</wp:posOffset>
            </wp:positionV>
            <wp:extent cx="6257290" cy="1817370"/>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257290" cy="1817370"/>
                    </a:xfrm>
                    <a:prstGeom prst="rect">
                      <a:avLst/>
                    </a:prstGeom>
                    <a:noFill/>
                  </pic:spPr>
                </pic:pic>
              </a:graphicData>
            </a:graphic>
            <wp14:sizeRelH relativeFrom="page">
              <wp14:pctWidth>0</wp14:pctWidth>
            </wp14:sizeRelH>
            <wp14:sizeRelV relativeFrom="page">
              <wp14:pctHeight>0</wp14:pctHeight>
            </wp14:sizeRelV>
          </wp:anchor>
        </w:drawing>
      </w:r>
    </w:p>
    <w:p w14:paraId="1E05FAA4"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66D3A8B"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76BE5F4"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Impact of COVID-19 on subprogramme delivery</w:t>
      </w:r>
    </w:p>
    <w:p w14:paraId="516173FE" w14:textId="77777777" w:rsidR="0042053A" w:rsidRPr="00B10D24" w:rsidRDefault="0042053A" w:rsidP="0042053A">
      <w:pPr>
        <w:pStyle w:val="SingleTxt"/>
        <w:spacing w:after="0" w:line="120" w:lineRule="exact"/>
        <w:rPr>
          <w:sz w:val="10"/>
        </w:rPr>
      </w:pPr>
    </w:p>
    <w:p w14:paraId="22ABB383"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15.65</w:t>
      </w:r>
      <w:r w:rsidRPr="00B10D24">
        <w:tab/>
        <w:t>Owing to the impact of COVID-19 during 2020, the subprogramme cancelled several planned in</w:t>
      </w:r>
      <w:r w:rsidRPr="00B10D24">
        <w:noBreakHyphen/>
        <w:t>person events, including seminars, training sessions, workshops and conferences, and in some cases held them remotely. These changes had an impact on programme performance in 2020, as specified in result 1 below.</w:t>
      </w:r>
    </w:p>
    <w:p w14:paraId="30127312"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15.66</w:t>
      </w:r>
      <w:r w:rsidRPr="00B10D24">
        <w:tab/>
        <w:t>At the same time, however, the subprogramme identified new and modified activities to support Member States on issues related to COVID-19, within the overall scope of its objectives, including deploying its Data and Analytics Unit, previously focused on the implementation of the City Prosperity Initiative, to develop a methodology for rapid mapping of COVID-19 vulnerability, impact and responses in cities and implementing it in over 1,500 cities for the UN-Habitat COVID</w:t>
      </w:r>
      <w:r w:rsidRPr="00B10D24">
        <w:noBreakHyphen/>
        <w:t xml:space="preserve">19 response; and tailoring its national urban policy demonstration projects to COVID-19 response and recovery. </w:t>
      </w:r>
    </w:p>
    <w:p w14:paraId="4ED54225"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6575FA7"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0FD7E2F" w14:textId="77777777" w:rsidR="0042053A" w:rsidRPr="00B10D24" w:rsidRDefault="0042053A" w:rsidP="0042053A">
      <w:pPr>
        <w:pStyle w:val="H1"/>
        <w:ind w:right="1260"/>
      </w:pPr>
      <w:r w:rsidRPr="00B10D24">
        <w:tab/>
      </w:r>
      <w:r w:rsidRPr="00B10D24">
        <w:tab/>
        <w:t>Planned results for 2022</w:t>
      </w:r>
    </w:p>
    <w:p w14:paraId="57DE95DB"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127E906"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3234553"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15.67</w:t>
      </w:r>
      <w:r w:rsidRPr="00B10D24">
        <w:tab/>
        <w:t>The planned results for 2022 include results 1 and 2, which are updates of results presented in the preceding proposed programme plans and therefore show both the programme performance in 2020 and the proposed programme plan for 2022. Result 3 is a new planned result.</w:t>
      </w:r>
    </w:p>
    <w:p w14:paraId="3B275932"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F95970C"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 w:hanging="1267"/>
        <w:rPr>
          <w:lang w:val="en-GB"/>
        </w:rPr>
      </w:pPr>
      <w:r w:rsidRPr="00B10D24">
        <w:rPr>
          <w:lang w:val="en-GB"/>
        </w:rPr>
        <w:tab/>
      </w:r>
      <w:r w:rsidRPr="00B10D24">
        <w:rPr>
          <w:lang w:val="en-GB"/>
        </w:rPr>
        <w:tab/>
        <w:t>Result 1: innovation driving city transformation and sustainable development: the City Prosperity Initiative</w:t>
      </w:r>
      <w:r w:rsidRPr="00B10D24">
        <w:rPr>
          <w:rStyle w:val="FootnoteReference"/>
          <w:b w:val="0"/>
          <w:bCs/>
          <w:lang w:val="en-GB"/>
        </w:rPr>
        <w:footnoteReference w:id="4"/>
      </w:r>
    </w:p>
    <w:p w14:paraId="58D096ED"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53AEDC5"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Programme performance in 2020</w:t>
      </w:r>
    </w:p>
    <w:p w14:paraId="50C07914" w14:textId="77777777" w:rsidR="0042053A" w:rsidRPr="00B10D24" w:rsidRDefault="0042053A" w:rsidP="0042053A">
      <w:pPr>
        <w:pStyle w:val="SingleTxt"/>
        <w:spacing w:after="0" w:line="120" w:lineRule="exact"/>
        <w:rPr>
          <w:sz w:val="10"/>
        </w:rPr>
      </w:pPr>
    </w:p>
    <w:p w14:paraId="02F1DE4B" w14:textId="4DD80D24"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15.68</w:t>
      </w:r>
      <w:r w:rsidRPr="00B10D24">
        <w:tab/>
        <w:t xml:space="preserve">The subprogramme has utilized the capacity of the City Prosperity Initiative to guide decision-making in 550 cities by establishing linkages between data, knowledge and policy actions. The subprogramme also worked with 60 United Nations and development partners to develop a </w:t>
      </w:r>
      <w:r w:rsidR="00134A90">
        <w:t>g</w:t>
      </w:r>
      <w:r w:rsidRPr="00B10D24">
        <w:t xml:space="preserve">lobal </w:t>
      </w:r>
      <w:r w:rsidR="00134A90">
        <w:t xml:space="preserve">United Nations system-wide </w:t>
      </w:r>
      <w:r w:rsidRPr="00B10D24">
        <w:t>Urban Monitoring Framework to track changes concerning the urban Sustainable Development Goals and support voluntary local reporting, for adoption by the Statistical Commission and the Inter-Agency and Expert Group on Sustainable Development Goal Indicators. Furthermore, the subprogramme adapted the initiative to provide rapid spatial analysis of urban vulnerability and city responses to COVID-19, having developed a methodology to integrate intra-urban inequality analysis in pandemic tracking.</w:t>
      </w:r>
    </w:p>
    <w:p w14:paraId="13E9978D" w14:textId="56330F7F"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15.69</w:t>
      </w:r>
      <w:r w:rsidRPr="00B10D24">
        <w:tab/>
        <w:t xml:space="preserve">The above-mentioned work contributed to 550 cities using the City Prosperity Initiative, which did not meet the planned target of 700 cities reflected in the proposed programme budget for 2020, since </w:t>
      </w:r>
      <w:r w:rsidRPr="00B10D24">
        <w:lastRenderedPageBreak/>
        <w:t>team capacity was deployed to respond to the newly emerging COVID-19 crisis. However, the subprogramme tracked the development of voluntary local reviews and carried out spatial analyses of COVID-19 vulnerability and responses in over 1,500 cities.</w:t>
      </w:r>
    </w:p>
    <w:p w14:paraId="0367A776"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A901CEE"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Proposed programme plan for 2022</w:t>
      </w:r>
    </w:p>
    <w:p w14:paraId="45B29FBE" w14:textId="77777777" w:rsidR="0042053A" w:rsidRPr="00B10D24" w:rsidRDefault="0042053A" w:rsidP="0042053A">
      <w:pPr>
        <w:pStyle w:val="SingleTxt"/>
        <w:spacing w:after="0" w:line="120" w:lineRule="exact"/>
        <w:rPr>
          <w:sz w:val="10"/>
        </w:rPr>
      </w:pPr>
    </w:p>
    <w:p w14:paraId="70A70839" w14:textId="284FA270"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15.70</w:t>
      </w:r>
      <w:r w:rsidRPr="00B10D24">
        <w:tab/>
        <w:t>The subprogramme will continue the work related to the planned result, in line with its mandate. To contribute to further progress towards the objective and in response to recent developments, the subprogramme’s work will evolve to include the implementation of the Urban Monitoring Framework in the context of the Sustainable Development Goal Cities initiative and to support voluntary local reviews. The expected progress is presented in the updated performance measure below (see figure 15.V).</w:t>
      </w:r>
    </w:p>
    <w:p w14:paraId="52F3687E" w14:textId="10562319"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EFC984B" w14:textId="14514779" w:rsidR="0042053A" w:rsidRPr="00B10D24" w:rsidRDefault="0042053A" w:rsidP="0042053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t>Figure 15.V</w:t>
      </w:r>
    </w:p>
    <w:p w14:paraId="1B6B4C04" w14:textId="2AFCBC5C" w:rsidR="0042053A" w:rsidRPr="00B10D24" w:rsidRDefault="0042053A" w:rsidP="0042053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15"/>
        <w:rPr>
          <w:lang w:val="en-GB"/>
        </w:rPr>
      </w:pPr>
      <w:r w:rsidRPr="00B10D24">
        <w:rPr>
          <w:lang w:val="en-GB"/>
        </w:rPr>
        <w:t>Performance measure: total number of cities using the City Prosperity Initiative and the Urban Monitoring Framework (cumulative)</w:t>
      </w:r>
    </w:p>
    <w:p w14:paraId="7E4FF5F7" w14:textId="3D89BF73" w:rsidR="0042053A" w:rsidRPr="00B10D24" w:rsidRDefault="0042053A" w:rsidP="004205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C9BEDA1" w14:textId="44F2C24B" w:rsidR="0042053A" w:rsidRPr="00B10D24" w:rsidRDefault="003F219A" w:rsidP="004205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sz w:val="10"/>
        </w:rPr>
        <w:drawing>
          <wp:anchor distT="0" distB="0" distL="114300" distR="114300" simplePos="0" relativeHeight="251672576" behindDoc="0" locked="0" layoutInCell="1" allowOverlap="1" wp14:anchorId="57F939CC" wp14:editId="30148B77">
            <wp:simplePos x="0" y="0"/>
            <wp:positionH relativeFrom="margin">
              <wp:align>right</wp:align>
            </wp:positionH>
            <wp:positionV relativeFrom="paragraph">
              <wp:posOffset>106029</wp:posOffset>
            </wp:positionV>
            <wp:extent cx="6254750" cy="216154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254750" cy="2161540"/>
                    </a:xfrm>
                    <a:prstGeom prst="rect">
                      <a:avLst/>
                    </a:prstGeom>
                    <a:noFill/>
                  </pic:spPr>
                </pic:pic>
              </a:graphicData>
            </a:graphic>
          </wp:anchor>
        </w:drawing>
      </w:r>
    </w:p>
    <w:p w14:paraId="544FAC67" w14:textId="77777777" w:rsidR="003F219A" w:rsidRPr="003F219A" w:rsidRDefault="003F219A" w:rsidP="003F219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2A2C25D" w14:textId="77777777" w:rsidR="0042053A" w:rsidRPr="00B10D24" w:rsidRDefault="0042053A" w:rsidP="0042053A">
      <w:pPr>
        <w:pStyle w:val="FootnoteText"/>
        <w:tabs>
          <w:tab w:val="clear" w:pos="418"/>
          <w:tab w:val="right" w:pos="216"/>
          <w:tab w:val="left" w:pos="288"/>
          <w:tab w:val="right" w:pos="576"/>
          <w:tab w:val="left" w:pos="648"/>
        </w:tabs>
        <w:ind w:left="288" w:hanging="288"/>
      </w:pPr>
      <w:r w:rsidRPr="00B10D24">
        <w:tab/>
      </w:r>
      <w:r w:rsidRPr="00B10D24">
        <w:rPr>
          <w:i/>
          <w:iCs/>
          <w:vertAlign w:val="superscript"/>
        </w:rPr>
        <w:t>a</w:t>
      </w:r>
      <w:r w:rsidRPr="00B10D24">
        <w:tab/>
      </w:r>
      <w:r w:rsidRPr="00B10D24">
        <w:tab/>
        <w:t>To maintain accountability for initial programme plans, the 2021 target is carried forward from the proposed programme budget for 2021 and reflects best estimates at that point in time before the COVID-19 pandemic. Programme performance for 2021 will be reported in the proposed programme budget for 2023.</w:t>
      </w:r>
    </w:p>
    <w:p w14:paraId="7907439F"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6BA22CC"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DD5C5A6" w14:textId="77777777" w:rsidR="0042053A" w:rsidRPr="00B10D24" w:rsidRDefault="0042053A" w:rsidP="003F219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40" w:hanging="1267"/>
        <w:rPr>
          <w:lang w:val="en-GB"/>
        </w:rPr>
      </w:pPr>
      <w:r w:rsidRPr="00B10D24">
        <w:rPr>
          <w:lang w:val="en-GB"/>
        </w:rPr>
        <w:tab/>
      </w:r>
      <w:r w:rsidRPr="00B10D24">
        <w:rPr>
          <w:lang w:val="en-GB"/>
        </w:rPr>
        <w:tab/>
        <w:t>Result 2: strengthened capacities of cities to accelerate the implementation of the Sustainable Development Goals by linking evidence-based policies to investments</w:t>
      </w:r>
      <w:r w:rsidRPr="00B10D24">
        <w:rPr>
          <w:rStyle w:val="FootnoteReference"/>
          <w:b w:val="0"/>
          <w:bCs/>
          <w:lang w:val="en-GB"/>
        </w:rPr>
        <w:footnoteReference w:id="5"/>
      </w:r>
    </w:p>
    <w:p w14:paraId="1D0C4D78"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C04B81A"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Programme performance in 2020</w:t>
      </w:r>
    </w:p>
    <w:p w14:paraId="5C17B089" w14:textId="77777777" w:rsidR="0042053A" w:rsidRPr="00B10D24" w:rsidRDefault="0042053A" w:rsidP="0042053A">
      <w:pPr>
        <w:pStyle w:val="SingleTxt"/>
        <w:spacing w:after="0" w:line="120" w:lineRule="exact"/>
        <w:rPr>
          <w:sz w:val="10"/>
        </w:rPr>
      </w:pPr>
    </w:p>
    <w:p w14:paraId="13DC519D"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15.71</w:t>
      </w:r>
      <w:r w:rsidRPr="00B10D24">
        <w:tab/>
        <w:t>The subprogramme launched the Sustainable Development Goal Cities global flagship programmes during the World Urban Forum in 2020. The subprogramme also mobilized collaboration with international local government institutions, academic institutions, private entities and investors committed to the implementation of the Goals. Furthermore, the subprogramme developed approaches and digitalized tools that enable large-scale participation of cities in the flagship programmes; the digital toolkit will include data and strategic planning tools, local capacity diagnostic tools, e-learning tools and a city investment portal. These will support cities in relation to connecting data, planning, Sustainable Development Goal project preparation and related financing.</w:t>
      </w:r>
    </w:p>
    <w:p w14:paraId="06339F59"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15.72</w:t>
      </w:r>
      <w:r w:rsidRPr="00B10D24">
        <w:tab/>
        <w:t>The above-mentioned work contributed to 425 cities using the Sustainable Development Goal Cities initiative urban indicator and monitoring platform, which met the planned target reflected in the programme budget for 2021.</w:t>
      </w:r>
    </w:p>
    <w:p w14:paraId="0574CC5D"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CD0B3A5"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lastRenderedPageBreak/>
        <w:tab/>
      </w:r>
      <w:r w:rsidRPr="00B10D24">
        <w:rPr>
          <w:lang w:val="en-GB"/>
        </w:rPr>
        <w:tab/>
        <w:t>Proposed programme plan for 2022</w:t>
      </w:r>
    </w:p>
    <w:p w14:paraId="1D88B30F" w14:textId="77777777" w:rsidR="0042053A" w:rsidRPr="00B10D24" w:rsidRDefault="0042053A" w:rsidP="0042053A">
      <w:pPr>
        <w:pStyle w:val="SingleTxt"/>
        <w:spacing w:after="0" w:line="120" w:lineRule="exact"/>
        <w:rPr>
          <w:sz w:val="10"/>
        </w:rPr>
      </w:pPr>
    </w:p>
    <w:p w14:paraId="204A1281"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15.73</w:t>
      </w:r>
      <w:r w:rsidRPr="00B10D24">
        <w:tab/>
        <w:t>The subprogramme will continue the work related to the planned result, in line with its mandate. To contribute to further progress towards the objective, the subprogramme will continue to develop digitalized data, develop capacity diagnostic and training tools and build a Cities Investment Portal and advisory service, as key components of a systematized backbone for large-scale implementation; advance partnerships with key global stakeholders; implement far-reaching communications and advocacy efforts; and onboard national groupings of cities. The expected progress is presented in the performance measure below (see figure 15.VI).</w:t>
      </w:r>
    </w:p>
    <w:p w14:paraId="54B4A05A"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0786D18" w14:textId="77777777" w:rsidR="0042053A" w:rsidRPr="00B10D24" w:rsidRDefault="0042053A" w:rsidP="0042053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t>Figure 15.VI</w:t>
      </w:r>
    </w:p>
    <w:p w14:paraId="16FE07BD" w14:textId="77777777" w:rsidR="0042053A" w:rsidRPr="00B10D24" w:rsidRDefault="0042053A" w:rsidP="003F219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40"/>
        <w:rPr>
          <w:lang w:val="en-GB"/>
        </w:rPr>
      </w:pPr>
      <w:r w:rsidRPr="00B10D24">
        <w:rPr>
          <w:lang w:val="en-GB"/>
        </w:rPr>
        <w:t>Performance measure: total number of cities using the Sustainable Development Goal Cities initiative urban indicator and monitoring platform (cumulative)</w:t>
      </w:r>
    </w:p>
    <w:p w14:paraId="2A7BA538" w14:textId="77777777" w:rsidR="0042053A" w:rsidRPr="00B10D24" w:rsidRDefault="0042053A" w:rsidP="004205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47E1ABA" w14:textId="75E5CC70" w:rsidR="0042053A" w:rsidRPr="00B10D24" w:rsidRDefault="003F219A" w:rsidP="0042053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lang w:val="en-US"/>
        </w:rPr>
        <w:drawing>
          <wp:anchor distT="0" distB="0" distL="114300" distR="114300" simplePos="0" relativeHeight="251674624" behindDoc="0" locked="0" layoutInCell="1" allowOverlap="1" wp14:anchorId="2EBCD6DF" wp14:editId="6D6CBA81">
            <wp:simplePos x="0" y="0"/>
            <wp:positionH relativeFrom="margin">
              <wp:align>right</wp:align>
            </wp:positionH>
            <wp:positionV relativeFrom="paragraph">
              <wp:posOffset>87287</wp:posOffset>
            </wp:positionV>
            <wp:extent cx="6254750" cy="1828165"/>
            <wp:effectExtent l="0" t="0" r="0" b="635"/>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254750" cy="1828165"/>
                    </a:xfrm>
                    <a:prstGeom prst="rect">
                      <a:avLst/>
                    </a:prstGeom>
                    <a:noFill/>
                  </pic:spPr>
                </pic:pic>
              </a:graphicData>
            </a:graphic>
            <wp14:sizeRelH relativeFrom="page">
              <wp14:pctWidth>0</wp14:pctWidth>
            </wp14:sizeRelH>
            <wp14:sizeRelV relativeFrom="page">
              <wp14:pctHeight>0</wp14:pctHeight>
            </wp14:sizeRelV>
          </wp:anchor>
        </w:drawing>
      </w:r>
    </w:p>
    <w:p w14:paraId="406931BF"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EA6531E" w14:textId="77777777" w:rsidR="0042053A" w:rsidRPr="00B10D24" w:rsidRDefault="0042053A" w:rsidP="0042053A">
      <w:pPr>
        <w:pStyle w:val="FootnoteText"/>
        <w:tabs>
          <w:tab w:val="clear" w:pos="418"/>
          <w:tab w:val="right" w:pos="216"/>
          <w:tab w:val="left" w:pos="288"/>
          <w:tab w:val="right" w:pos="576"/>
          <w:tab w:val="left" w:pos="648"/>
        </w:tabs>
        <w:ind w:left="288" w:hanging="288"/>
      </w:pPr>
      <w:r w:rsidRPr="00B10D24">
        <w:tab/>
      </w:r>
      <w:r w:rsidRPr="00B10D24">
        <w:rPr>
          <w:i/>
          <w:iCs/>
          <w:vertAlign w:val="superscript"/>
        </w:rPr>
        <w:t>a</w:t>
      </w:r>
      <w:r w:rsidRPr="00B10D24">
        <w:tab/>
      </w:r>
      <w:r w:rsidRPr="00B10D24">
        <w:tab/>
        <w:t>To maintain accountability for initial programme plans, the 2021 target is carried forward from the proposed programme budget for 2021 and reflects best estimates at that point in time before the COVID-19 pandemic. Programme performance for 2021 will be reported in the proposed programme budget for 2023.</w:t>
      </w:r>
    </w:p>
    <w:p w14:paraId="6DCF5A7F"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6CFA79B"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75DCDAF"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 w:hanging="1267"/>
        <w:rPr>
          <w:lang w:val="en-GB"/>
        </w:rPr>
      </w:pPr>
      <w:r w:rsidRPr="00B10D24">
        <w:rPr>
          <w:lang w:val="en-GB"/>
        </w:rPr>
        <w:tab/>
      </w:r>
      <w:r w:rsidRPr="00B10D24">
        <w:rPr>
          <w:lang w:val="en-GB"/>
        </w:rPr>
        <w:tab/>
        <w:t>Result 3: a people-centred approach to urban innovation, digital technologies, smart cities and urbanization processes adopted by cities</w:t>
      </w:r>
    </w:p>
    <w:p w14:paraId="54A88D63" w14:textId="77777777" w:rsidR="0042053A" w:rsidRPr="00B10D24" w:rsidRDefault="0042053A" w:rsidP="0042053A">
      <w:pPr>
        <w:pStyle w:val="SingleTxt"/>
        <w:spacing w:after="0" w:line="120" w:lineRule="exact"/>
        <w:rPr>
          <w:sz w:val="10"/>
        </w:rPr>
      </w:pPr>
    </w:p>
    <w:p w14:paraId="6144EE7F"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Proposed programme plan for 2022</w:t>
      </w:r>
    </w:p>
    <w:p w14:paraId="2C7E6EAE" w14:textId="77777777" w:rsidR="0042053A" w:rsidRPr="00B10D24" w:rsidRDefault="0042053A" w:rsidP="0042053A">
      <w:pPr>
        <w:pStyle w:val="SingleTxt"/>
        <w:spacing w:after="0" w:line="120" w:lineRule="exact"/>
        <w:rPr>
          <w:sz w:val="10"/>
        </w:rPr>
      </w:pPr>
    </w:p>
    <w:p w14:paraId="0968DC4F"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15.74</w:t>
      </w:r>
      <w:r w:rsidRPr="00B10D24">
        <w:tab/>
        <w:t xml:space="preserve">Cities are hubs for open technological and social innovation. Smart cities play an increasing role in urban development (see </w:t>
      </w:r>
      <w:r w:rsidRPr="00B10D24">
        <w:rPr>
          <w:i/>
          <w:iCs/>
        </w:rPr>
        <w:t>World Cities Report 2020</w:t>
      </w:r>
      <w:r w:rsidRPr="00B10D24">
        <w:t>), which was recognized in the ministerial declaration of the UN-Habitat Assembly entitled “Innovation for better quality of life in cities and communities: accelerated implementation of the New Urban Agenda towards the achievement of the Sustainable Development Goals”, adopted in 2019. In order to use smart technologies to accelerate the achievement of the urban-related Sustainable Development Goals and a better quality of life for all, cities need to shift from a supply-driven to a needs-based approach to smart technologies and innovation and strengthen digital rights and inclusion in order to leave no one behind. The subprogramme has supported the development of people-centred smart cities strategies, starting in Kigali, and carried out research into the potential for challenge-driven innovation to make cities healthy, thriving and climate-neutral. The subprogramme launched the Climate Smart Cities Challenge, an open call to city governments and agencies around the world to join an open competition aimed at stimulating and scaling up innovative means of reducing greenhouse gas emissions in cities while creating other social benefits. It also established the United Nations Innovative Technology Accelerator for Cities in Hamburg, with the support of the Government of Germany, to demonstrate the power of digital technologies to solve urban challenges. The subprogramme will continue advancing a people-centred approach to urban innovation and digital transformation for resilient, safe, inclusive and sustainable urbanization processes.</w:t>
      </w:r>
    </w:p>
    <w:p w14:paraId="16D88709"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BC130ED" w14:textId="77777777" w:rsidR="0042053A" w:rsidRPr="00B10D24" w:rsidRDefault="0042053A" w:rsidP="003F219A">
      <w:pPr>
        <w:pStyle w:val="H4"/>
        <w:ind w:right="1260"/>
      </w:pPr>
      <w:r w:rsidRPr="00B10D24">
        <w:lastRenderedPageBreak/>
        <w:tab/>
      </w:r>
      <w:r w:rsidRPr="00B10D24">
        <w:tab/>
        <w:t>Lessons learned and planned change</w:t>
      </w:r>
    </w:p>
    <w:p w14:paraId="0D7EA09C" w14:textId="77777777" w:rsidR="0042053A" w:rsidRPr="00B10D24" w:rsidRDefault="0042053A" w:rsidP="003F219A">
      <w:pPr>
        <w:pStyle w:val="SingleTxt"/>
        <w:keepNext/>
        <w:keepLines/>
        <w:spacing w:after="0" w:line="120" w:lineRule="exact"/>
        <w:rPr>
          <w:sz w:val="10"/>
        </w:rPr>
      </w:pPr>
    </w:p>
    <w:p w14:paraId="4DE4301A" w14:textId="77777777" w:rsidR="0042053A" w:rsidRPr="00B10D24" w:rsidRDefault="0042053A" w:rsidP="003F21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15.75</w:t>
      </w:r>
      <w:r w:rsidRPr="00B10D24">
        <w:tab/>
        <w:t>The lesson for the subprogramme was that it needed to better support the strategic and proactive role of local and national governments in harnessing innovation, digital technologies and smart cities to advance sustainable urban development. In applying the lesson, the subprogramme will support cities in developing people-centred smart city strategies aligned with efforts to implement the New Urban Agenda and achieve the Sustainable Development Goals. This will include establishing appropriate multi-level governance frameworks and ensuring that technologies and innovation directly contribute to improved urban environments and raise the quality of life, including in marginalized communities. Additionally, the subprogramme will build on the Climate Smart Cities Challenge and support challenge-driven innovation to generate innovative solutions to new and pre</w:t>
      </w:r>
      <w:r w:rsidRPr="00B10D24">
        <w:noBreakHyphen/>
        <w:t>existing challenges faced in urban areas, including in the context of COVID-19 recovery and pandemic preparedness.</w:t>
      </w:r>
    </w:p>
    <w:p w14:paraId="46162E76"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C01369D" w14:textId="77777777" w:rsidR="0042053A" w:rsidRPr="00B10D24" w:rsidRDefault="0042053A" w:rsidP="0042053A">
      <w:pPr>
        <w:pStyle w:val="H4"/>
        <w:ind w:right="1260"/>
      </w:pPr>
      <w:r w:rsidRPr="00B10D24">
        <w:tab/>
      </w:r>
      <w:r w:rsidRPr="00B10D24">
        <w:tab/>
        <w:t>Expected progress towards the attainment of the objective, and performance measure</w:t>
      </w:r>
    </w:p>
    <w:p w14:paraId="35990565"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A70BDCC"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15.76</w:t>
      </w:r>
      <w:r w:rsidRPr="00B10D24">
        <w:tab/>
        <w:t>This work is expected to contribute to the objective, as demonstrated by the implementation of digital transformation, smart city strategies and innovations that address the digital divide by 20 local authorities (see table 15.4).</w:t>
      </w:r>
    </w:p>
    <w:p w14:paraId="622E073C"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AD8779E"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t>Table 15.4</w:t>
      </w:r>
    </w:p>
    <w:p w14:paraId="7D71B4AC" w14:textId="77777777" w:rsidR="0042053A" w:rsidRPr="00B10D24" w:rsidRDefault="0042053A" w:rsidP="0042053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 xml:space="preserve">Performance measure </w:t>
      </w:r>
    </w:p>
    <w:p w14:paraId="0E2D273E"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54739A1"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W w:w="9855" w:type="dxa"/>
        <w:tblLayout w:type="fixed"/>
        <w:tblCellMar>
          <w:left w:w="0" w:type="dxa"/>
          <w:right w:w="0" w:type="dxa"/>
        </w:tblCellMar>
        <w:tblLook w:val="04A0" w:firstRow="1" w:lastRow="0" w:firstColumn="1" w:lastColumn="0" w:noHBand="0" w:noVBand="1"/>
      </w:tblPr>
      <w:tblGrid>
        <w:gridCol w:w="1971"/>
        <w:gridCol w:w="1971"/>
        <w:gridCol w:w="1971"/>
        <w:gridCol w:w="1971"/>
        <w:gridCol w:w="1971"/>
      </w:tblGrid>
      <w:tr w:rsidR="0042053A" w:rsidRPr="00B10D24" w14:paraId="7A14AB88" w14:textId="77777777" w:rsidTr="00206464">
        <w:trPr>
          <w:tblHeader/>
        </w:trPr>
        <w:tc>
          <w:tcPr>
            <w:tcW w:w="1971" w:type="dxa"/>
            <w:tcBorders>
              <w:top w:val="single" w:sz="4" w:space="0" w:color="auto"/>
              <w:left w:val="nil"/>
              <w:bottom w:val="single" w:sz="12" w:space="0" w:color="auto"/>
              <w:right w:val="nil"/>
            </w:tcBorders>
            <w:vAlign w:val="bottom"/>
            <w:hideMark/>
          </w:tcPr>
          <w:p w14:paraId="487AD9F6" w14:textId="77777777" w:rsidR="0042053A" w:rsidRPr="00B10D24" w:rsidRDefault="0042053A" w:rsidP="00206464">
            <w:pPr>
              <w:keepNext/>
              <w:keepLines/>
              <w:spacing w:before="81" w:after="81" w:line="160" w:lineRule="exact"/>
              <w:ind w:right="40"/>
              <w:jc w:val="both"/>
              <w:rPr>
                <w:i/>
                <w:sz w:val="14"/>
                <w:lang w:eastAsia="zh-CN"/>
              </w:rPr>
            </w:pPr>
            <w:r w:rsidRPr="00B10D24">
              <w:rPr>
                <w:i/>
                <w:sz w:val="14"/>
                <w:lang w:eastAsia="zh-CN"/>
              </w:rPr>
              <w:t>2018 (actual)</w:t>
            </w:r>
          </w:p>
        </w:tc>
        <w:tc>
          <w:tcPr>
            <w:tcW w:w="1971" w:type="dxa"/>
            <w:tcBorders>
              <w:top w:val="single" w:sz="4" w:space="0" w:color="auto"/>
              <w:left w:val="nil"/>
              <w:bottom w:val="single" w:sz="12" w:space="0" w:color="auto"/>
              <w:right w:val="nil"/>
            </w:tcBorders>
            <w:vAlign w:val="bottom"/>
            <w:hideMark/>
          </w:tcPr>
          <w:p w14:paraId="2C08919A" w14:textId="77777777" w:rsidR="0042053A" w:rsidRPr="00B10D24" w:rsidRDefault="0042053A" w:rsidP="00206464">
            <w:pPr>
              <w:keepNext/>
              <w:keepLines/>
              <w:spacing w:before="81" w:after="81" w:line="160" w:lineRule="exact"/>
              <w:ind w:left="144" w:right="40"/>
              <w:rPr>
                <w:i/>
                <w:sz w:val="14"/>
                <w:lang w:eastAsia="zh-CN"/>
              </w:rPr>
            </w:pPr>
            <w:r w:rsidRPr="00B10D24">
              <w:rPr>
                <w:i/>
                <w:sz w:val="14"/>
                <w:lang w:eastAsia="zh-CN"/>
              </w:rPr>
              <w:t>2019 (actual)</w:t>
            </w:r>
          </w:p>
        </w:tc>
        <w:tc>
          <w:tcPr>
            <w:tcW w:w="1971" w:type="dxa"/>
            <w:tcBorders>
              <w:top w:val="single" w:sz="4" w:space="0" w:color="auto"/>
              <w:left w:val="nil"/>
              <w:bottom w:val="single" w:sz="12" w:space="0" w:color="auto"/>
              <w:right w:val="double" w:sz="12" w:space="0" w:color="auto"/>
            </w:tcBorders>
            <w:vAlign w:val="bottom"/>
            <w:hideMark/>
          </w:tcPr>
          <w:p w14:paraId="5FC6959D" w14:textId="77777777" w:rsidR="0042053A" w:rsidRPr="00B10D24" w:rsidRDefault="0042053A" w:rsidP="00206464">
            <w:pPr>
              <w:keepNext/>
              <w:keepLines/>
              <w:spacing w:before="81" w:after="81" w:line="160" w:lineRule="exact"/>
              <w:ind w:left="144" w:right="40"/>
              <w:rPr>
                <w:i/>
                <w:sz w:val="14"/>
                <w:lang w:eastAsia="zh-CN"/>
              </w:rPr>
            </w:pPr>
            <w:r w:rsidRPr="00B10D24">
              <w:rPr>
                <w:i/>
                <w:sz w:val="14"/>
                <w:lang w:eastAsia="zh-CN"/>
              </w:rPr>
              <w:t>2020 (actual)</w:t>
            </w:r>
          </w:p>
        </w:tc>
        <w:tc>
          <w:tcPr>
            <w:tcW w:w="1971" w:type="dxa"/>
            <w:tcBorders>
              <w:top w:val="single" w:sz="4" w:space="0" w:color="auto"/>
              <w:left w:val="double" w:sz="12" w:space="0" w:color="auto"/>
              <w:bottom w:val="single" w:sz="12" w:space="0" w:color="auto"/>
              <w:right w:val="nil"/>
            </w:tcBorders>
            <w:vAlign w:val="bottom"/>
            <w:hideMark/>
          </w:tcPr>
          <w:p w14:paraId="60668B9D" w14:textId="77777777" w:rsidR="0042053A" w:rsidRPr="00B10D24" w:rsidRDefault="0042053A" w:rsidP="00206464">
            <w:pPr>
              <w:keepNext/>
              <w:keepLines/>
              <w:spacing w:before="81" w:after="81" w:line="160" w:lineRule="exact"/>
              <w:ind w:left="144" w:right="40"/>
              <w:rPr>
                <w:i/>
                <w:sz w:val="14"/>
                <w:vertAlign w:val="superscript"/>
                <w:lang w:eastAsia="zh-CN"/>
              </w:rPr>
            </w:pPr>
            <w:r w:rsidRPr="00B10D24">
              <w:rPr>
                <w:i/>
                <w:sz w:val="14"/>
                <w:lang w:eastAsia="zh-CN"/>
              </w:rPr>
              <w:t>2021 (planned)</w:t>
            </w:r>
          </w:p>
        </w:tc>
        <w:tc>
          <w:tcPr>
            <w:tcW w:w="1971" w:type="dxa"/>
            <w:tcBorders>
              <w:top w:val="single" w:sz="4" w:space="0" w:color="auto"/>
              <w:left w:val="nil"/>
              <w:bottom w:val="single" w:sz="12" w:space="0" w:color="auto"/>
              <w:right w:val="nil"/>
            </w:tcBorders>
            <w:vAlign w:val="bottom"/>
            <w:hideMark/>
          </w:tcPr>
          <w:p w14:paraId="5906EF3C" w14:textId="77777777" w:rsidR="0042053A" w:rsidRPr="00B10D24" w:rsidRDefault="0042053A" w:rsidP="00206464">
            <w:pPr>
              <w:keepNext/>
              <w:keepLines/>
              <w:spacing w:before="81" w:after="81" w:line="160" w:lineRule="exact"/>
              <w:ind w:left="144" w:right="40"/>
              <w:rPr>
                <w:b/>
                <w:bCs/>
                <w:i/>
                <w:sz w:val="14"/>
                <w:lang w:eastAsia="zh-CN"/>
              </w:rPr>
            </w:pPr>
            <w:r w:rsidRPr="00B10D24">
              <w:rPr>
                <w:i/>
                <w:sz w:val="14"/>
                <w:lang w:eastAsia="zh-CN"/>
              </w:rPr>
              <w:t>2022 (planned)</w:t>
            </w:r>
          </w:p>
        </w:tc>
      </w:tr>
      <w:tr w:rsidR="0042053A" w:rsidRPr="00B10D24" w14:paraId="3F65D2C1" w14:textId="77777777" w:rsidTr="00206464">
        <w:trPr>
          <w:trHeight w:hRule="exact" w:val="115"/>
          <w:tblHeader/>
        </w:trPr>
        <w:tc>
          <w:tcPr>
            <w:tcW w:w="1971" w:type="dxa"/>
            <w:tcBorders>
              <w:top w:val="single" w:sz="12" w:space="0" w:color="auto"/>
              <w:left w:val="nil"/>
              <w:bottom w:val="nil"/>
              <w:right w:val="nil"/>
            </w:tcBorders>
            <w:vAlign w:val="bottom"/>
          </w:tcPr>
          <w:p w14:paraId="06057F57" w14:textId="77777777" w:rsidR="0042053A" w:rsidRPr="00B10D24" w:rsidRDefault="0042053A" w:rsidP="00206464">
            <w:pPr>
              <w:keepNext/>
              <w:keepLines/>
              <w:spacing w:before="40" w:after="120"/>
              <w:ind w:right="40"/>
              <w:jc w:val="both"/>
              <w:rPr>
                <w:lang w:eastAsia="zh-CN"/>
              </w:rPr>
            </w:pPr>
          </w:p>
        </w:tc>
        <w:tc>
          <w:tcPr>
            <w:tcW w:w="1971" w:type="dxa"/>
            <w:tcBorders>
              <w:top w:val="single" w:sz="12" w:space="0" w:color="auto"/>
              <w:left w:val="nil"/>
              <w:bottom w:val="nil"/>
              <w:right w:val="nil"/>
            </w:tcBorders>
            <w:vAlign w:val="bottom"/>
          </w:tcPr>
          <w:p w14:paraId="1BF2D4B2" w14:textId="77777777" w:rsidR="0042053A" w:rsidRPr="00B10D24" w:rsidRDefault="0042053A" w:rsidP="00206464">
            <w:pPr>
              <w:keepNext/>
              <w:keepLines/>
              <w:spacing w:before="40" w:after="120"/>
              <w:ind w:left="144" w:right="40"/>
              <w:rPr>
                <w:lang w:eastAsia="zh-CN"/>
              </w:rPr>
            </w:pPr>
          </w:p>
        </w:tc>
        <w:tc>
          <w:tcPr>
            <w:tcW w:w="1971" w:type="dxa"/>
            <w:tcBorders>
              <w:top w:val="single" w:sz="12" w:space="0" w:color="auto"/>
              <w:left w:val="nil"/>
              <w:bottom w:val="nil"/>
              <w:right w:val="double" w:sz="12" w:space="0" w:color="auto"/>
            </w:tcBorders>
            <w:vAlign w:val="bottom"/>
          </w:tcPr>
          <w:p w14:paraId="4DD66AF5" w14:textId="77777777" w:rsidR="0042053A" w:rsidRPr="00B10D24" w:rsidRDefault="0042053A" w:rsidP="00206464">
            <w:pPr>
              <w:keepNext/>
              <w:keepLines/>
              <w:spacing w:before="40" w:after="120"/>
              <w:ind w:left="144" w:right="40"/>
              <w:rPr>
                <w:lang w:eastAsia="zh-CN"/>
              </w:rPr>
            </w:pPr>
          </w:p>
        </w:tc>
        <w:tc>
          <w:tcPr>
            <w:tcW w:w="1971" w:type="dxa"/>
            <w:tcBorders>
              <w:top w:val="single" w:sz="12" w:space="0" w:color="auto"/>
              <w:left w:val="double" w:sz="12" w:space="0" w:color="auto"/>
              <w:bottom w:val="nil"/>
              <w:right w:val="nil"/>
            </w:tcBorders>
            <w:vAlign w:val="bottom"/>
          </w:tcPr>
          <w:p w14:paraId="35D21EFB" w14:textId="77777777" w:rsidR="0042053A" w:rsidRPr="00B10D24" w:rsidRDefault="0042053A" w:rsidP="00206464">
            <w:pPr>
              <w:keepNext/>
              <w:keepLines/>
              <w:spacing w:before="40" w:after="120"/>
              <w:ind w:left="144" w:right="40"/>
              <w:rPr>
                <w:lang w:eastAsia="zh-CN"/>
              </w:rPr>
            </w:pPr>
          </w:p>
        </w:tc>
        <w:tc>
          <w:tcPr>
            <w:tcW w:w="1971" w:type="dxa"/>
            <w:tcBorders>
              <w:top w:val="single" w:sz="12" w:space="0" w:color="auto"/>
              <w:left w:val="nil"/>
              <w:bottom w:val="nil"/>
              <w:right w:val="nil"/>
            </w:tcBorders>
            <w:vAlign w:val="bottom"/>
          </w:tcPr>
          <w:p w14:paraId="58FB6530" w14:textId="77777777" w:rsidR="0042053A" w:rsidRPr="00B10D24" w:rsidRDefault="0042053A" w:rsidP="00206464">
            <w:pPr>
              <w:keepNext/>
              <w:keepLines/>
              <w:spacing w:before="40" w:after="120"/>
              <w:ind w:left="144" w:right="40"/>
              <w:rPr>
                <w:b/>
                <w:bCs/>
                <w:lang w:eastAsia="zh-CN"/>
              </w:rPr>
            </w:pPr>
          </w:p>
        </w:tc>
      </w:tr>
      <w:tr w:rsidR="0042053A" w:rsidRPr="00B10D24" w14:paraId="5987970D" w14:textId="77777777" w:rsidTr="00206464">
        <w:tc>
          <w:tcPr>
            <w:tcW w:w="1971" w:type="dxa"/>
            <w:tcBorders>
              <w:top w:val="nil"/>
              <w:left w:val="nil"/>
              <w:bottom w:val="single" w:sz="12" w:space="0" w:color="auto"/>
              <w:right w:val="nil"/>
            </w:tcBorders>
          </w:tcPr>
          <w:p w14:paraId="40531AAB" w14:textId="77777777" w:rsidR="0042053A" w:rsidRPr="00B10D24" w:rsidRDefault="0042053A" w:rsidP="00206464">
            <w:pPr>
              <w:keepNext/>
              <w:keepLines/>
              <w:tabs>
                <w:tab w:val="left" w:pos="288"/>
                <w:tab w:val="left" w:pos="576"/>
                <w:tab w:val="left" w:pos="864"/>
                <w:tab w:val="left" w:pos="1152"/>
              </w:tabs>
              <w:spacing w:before="40" w:after="120" w:line="234" w:lineRule="exact"/>
              <w:ind w:right="43"/>
              <w:rPr>
                <w:lang w:eastAsia="zh-CN"/>
              </w:rPr>
            </w:pPr>
            <w:r w:rsidRPr="00B10D24">
              <w:t>Rwanda implements a smart cities masterplan</w:t>
            </w:r>
          </w:p>
        </w:tc>
        <w:tc>
          <w:tcPr>
            <w:tcW w:w="1971" w:type="dxa"/>
            <w:tcBorders>
              <w:top w:val="nil"/>
              <w:left w:val="nil"/>
              <w:bottom w:val="single" w:sz="12" w:space="0" w:color="auto"/>
              <w:right w:val="nil"/>
            </w:tcBorders>
          </w:tcPr>
          <w:p w14:paraId="4F32E2D1" w14:textId="77777777" w:rsidR="0042053A" w:rsidRPr="00B10D24" w:rsidRDefault="0042053A" w:rsidP="00206464">
            <w:pPr>
              <w:keepNext/>
              <w:keepLines/>
              <w:tabs>
                <w:tab w:val="left" w:pos="288"/>
                <w:tab w:val="left" w:pos="576"/>
                <w:tab w:val="left" w:pos="864"/>
                <w:tab w:val="left" w:pos="1152"/>
              </w:tabs>
              <w:spacing w:before="40" w:after="120" w:line="234" w:lineRule="exact"/>
              <w:ind w:left="144" w:right="43"/>
              <w:rPr>
                <w:lang w:eastAsia="zh-CN"/>
              </w:rPr>
            </w:pPr>
            <w:r w:rsidRPr="00B10D24">
              <w:t>Member States at the UN-Habitat Assembly note the potential of frontier technologies and innovation for sustainable urban development</w:t>
            </w:r>
          </w:p>
        </w:tc>
        <w:tc>
          <w:tcPr>
            <w:tcW w:w="1971" w:type="dxa"/>
            <w:tcBorders>
              <w:top w:val="nil"/>
              <w:left w:val="nil"/>
              <w:bottom w:val="single" w:sz="12" w:space="0" w:color="auto"/>
              <w:right w:val="double" w:sz="12" w:space="0" w:color="auto"/>
            </w:tcBorders>
          </w:tcPr>
          <w:p w14:paraId="6E345DD0" w14:textId="77777777" w:rsidR="0042053A" w:rsidRPr="00B10D24" w:rsidRDefault="0042053A" w:rsidP="00206464">
            <w:pPr>
              <w:keepNext/>
              <w:keepLines/>
              <w:tabs>
                <w:tab w:val="left" w:pos="288"/>
                <w:tab w:val="left" w:pos="576"/>
                <w:tab w:val="left" w:pos="864"/>
                <w:tab w:val="left" w:pos="1152"/>
              </w:tabs>
              <w:spacing w:before="40" w:after="120" w:line="234" w:lineRule="exact"/>
              <w:ind w:left="144" w:right="43"/>
            </w:pPr>
            <w:r w:rsidRPr="00B10D24">
              <w:t>10 cities benefit from a flagship programme on people-centred smart cities</w:t>
            </w:r>
          </w:p>
        </w:tc>
        <w:tc>
          <w:tcPr>
            <w:tcW w:w="1971" w:type="dxa"/>
            <w:tcBorders>
              <w:top w:val="nil"/>
              <w:left w:val="double" w:sz="12" w:space="0" w:color="auto"/>
              <w:bottom w:val="single" w:sz="12" w:space="0" w:color="auto"/>
              <w:right w:val="nil"/>
            </w:tcBorders>
          </w:tcPr>
          <w:p w14:paraId="69FFF85C" w14:textId="77777777" w:rsidR="0042053A" w:rsidRPr="00B10D24" w:rsidRDefault="0042053A" w:rsidP="00206464">
            <w:pPr>
              <w:keepNext/>
              <w:keepLines/>
              <w:tabs>
                <w:tab w:val="left" w:pos="288"/>
                <w:tab w:val="left" w:pos="576"/>
                <w:tab w:val="left" w:pos="864"/>
                <w:tab w:val="left" w:pos="1152"/>
              </w:tabs>
              <w:spacing w:before="40" w:after="120" w:line="234" w:lineRule="exact"/>
              <w:ind w:left="144" w:right="43"/>
            </w:pPr>
            <w:r w:rsidRPr="00B10D24">
              <w:t>10 local governments adopt people-centred digital transformation and smart city strategies that address the digital divide</w:t>
            </w:r>
          </w:p>
          <w:p w14:paraId="1BE7CEBF" w14:textId="77777777" w:rsidR="0042053A" w:rsidRPr="00B10D24" w:rsidRDefault="0042053A" w:rsidP="00206464">
            <w:pPr>
              <w:keepNext/>
              <w:keepLines/>
              <w:tabs>
                <w:tab w:val="left" w:pos="288"/>
                <w:tab w:val="left" w:pos="576"/>
                <w:tab w:val="left" w:pos="864"/>
                <w:tab w:val="left" w:pos="1152"/>
              </w:tabs>
              <w:spacing w:before="40" w:after="120" w:line="234" w:lineRule="exact"/>
              <w:ind w:left="144" w:right="43"/>
              <w:rPr>
                <w:lang w:eastAsia="zh-CN"/>
              </w:rPr>
            </w:pPr>
            <w:r w:rsidRPr="00B10D24">
              <w:t>10 countries implement urban innovation challenges</w:t>
            </w:r>
          </w:p>
        </w:tc>
        <w:tc>
          <w:tcPr>
            <w:tcW w:w="1971" w:type="dxa"/>
            <w:tcBorders>
              <w:top w:val="nil"/>
              <w:left w:val="nil"/>
              <w:bottom w:val="single" w:sz="12" w:space="0" w:color="auto"/>
              <w:right w:val="nil"/>
            </w:tcBorders>
          </w:tcPr>
          <w:p w14:paraId="26F32964" w14:textId="77777777" w:rsidR="0042053A" w:rsidRPr="00B10D24" w:rsidRDefault="0042053A" w:rsidP="00206464">
            <w:pPr>
              <w:keepNext/>
              <w:keepLines/>
              <w:tabs>
                <w:tab w:val="left" w:pos="288"/>
                <w:tab w:val="left" w:pos="576"/>
                <w:tab w:val="left" w:pos="864"/>
                <w:tab w:val="left" w:pos="1152"/>
              </w:tabs>
              <w:spacing w:before="40" w:after="120" w:line="234" w:lineRule="exact"/>
              <w:ind w:left="144" w:right="43"/>
              <w:rPr>
                <w:b/>
                <w:bCs/>
                <w:lang w:eastAsia="zh-CN"/>
              </w:rPr>
            </w:pPr>
            <w:r w:rsidRPr="00B10D24">
              <w:t>20 local authorities implement digital transformation and smart city strategies and benefit from innovations addressing the digital divide</w:t>
            </w:r>
          </w:p>
        </w:tc>
      </w:tr>
    </w:tbl>
    <w:p w14:paraId="41BAB0A1"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216E156"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2CF79B5"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C7CE9F2" w14:textId="77777777" w:rsidR="0042053A" w:rsidRPr="00B10D24" w:rsidRDefault="0042053A" w:rsidP="0042053A">
      <w:pPr>
        <w:pStyle w:val="H1"/>
        <w:ind w:right="1260"/>
      </w:pPr>
      <w:r w:rsidRPr="00B10D24">
        <w:tab/>
      </w:r>
      <w:r w:rsidRPr="00B10D24">
        <w:tab/>
        <w:t>Legislative mandates</w:t>
      </w:r>
    </w:p>
    <w:p w14:paraId="3F27D6E9"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66C74FE"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9D13800"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15.77</w:t>
      </w:r>
      <w:r w:rsidRPr="00B10D24">
        <w:tab/>
        <w:t>The list below provides all mandates entrusted to the subprogramme.</w:t>
      </w:r>
    </w:p>
    <w:p w14:paraId="2A5E1811" w14:textId="77777777" w:rsidR="0042053A" w:rsidRPr="00B10D24" w:rsidRDefault="0042053A" w:rsidP="0042053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6CE0343" w14:textId="56E33E28" w:rsidR="0042053A" w:rsidRDefault="0042053A" w:rsidP="0042053A">
      <w:pPr>
        <w:pStyle w:val="H4"/>
        <w:ind w:right="1260"/>
      </w:pPr>
      <w:r w:rsidRPr="00B10D24">
        <w:t>General Assembly resolutions</w:t>
      </w:r>
    </w:p>
    <w:p w14:paraId="66D47599" w14:textId="7FB04C17" w:rsidR="00D85B7D" w:rsidRPr="00D85B7D" w:rsidRDefault="00D85B7D" w:rsidP="00D85B7D">
      <w:pPr>
        <w:pStyle w:val="SingleTxt"/>
        <w:spacing w:after="0" w:line="120" w:lineRule="exact"/>
        <w:rPr>
          <w:sz w:val="10"/>
        </w:rPr>
      </w:pPr>
    </w:p>
    <w:p w14:paraId="31AC39C5" w14:textId="1BA328DC" w:rsidR="0042053A" w:rsidRPr="00D85B7D" w:rsidRDefault="0042053A" w:rsidP="00D85B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1267" w:hanging="1267"/>
        <w:jc w:val="both"/>
        <w:rPr>
          <w:sz w:val="2"/>
          <w:lang w:val="en-US"/>
        </w:rPr>
      </w:pPr>
    </w:p>
    <w:p w14:paraId="2AA6F183" w14:textId="77777777" w:rsidR="00D85B7D" w:rsidRPr="00D85B7D" w:rsidRDefault="00D85B7D" w:rsidP="00D85B7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1267" w:hanging="1267"/>
        <w:jc w:val="both"/>
        <w:rPr>
          <w:sz w:val="2"/>
          <w:lang w:val="en-US"/>
        </w:rPr>
        <w:sectPr w:rsidR="00D85B7D" w:rsidRPr="00D85B7D" w:rsidSect="006875B4">
          <w:endnotePr>
            <w:numFmt w:val="decimal"/>
          </w:endnotePr>
          <w:type w:val="continuous"/>
          <w:pgSz w:w="12240" w:h="15840"/>
          <w:pgMar w:top="1440" w:right="1195" w:bottom="1152" w:left="1195" w:header="432" w:footer="504" w:gutter="0"/>
          <w:cols w:space="720"/>
          <w:noEndnote/>
          <w:docGrid w:linePitch="360"/>
        </w:sectPr>
      </w:pPr>
    </w:p>
    <w:tbl>
      <w:tblPr>
        <w:tblW w:w="5000" w:type="pct"/>
        <w:tblCellMar>
          <w:left w:w="0" w:type="dxa"/>
          <w:right w:w="0" w:type="dxa"/>
        </w:tblCellMar>
        <w:tblLook w:val="0000" w:firstRow="0" w:lastRow="0" w:firstColumn="0" w:lastColumn="0" w:noHBand="0" w:noVBand="0"/>
      </w:tblPr>
      <w:tblGrid>
        <w:gridCol w:w="1260"/>
        <w:gridCol w:w="3545"/>
      </w:tblGrid>
      <w:tr w:rsidR="00D85B7D" w:rsidRPr="00D85B7D" w14:paraId="4F4A2FE3" w14:textId="77777777" w:rsidTr="00674BD1">
        <w:tc>
          <w:tcPr>
            <w:tcW w:w="1311" w:type="pct"/>
            <w:shd w:val="clear" w:color="auto" w:fill="auto"/>
          </w:tcPr>
          <w:p w14:paraId="01F5A6EA" w14:textId="706DFAA0" w:rsidR="00D85B7D" w:rsidRPr="00D85B7D" w:rsidRDefault="0078207D" w:rsidP="00D85B7D">
            <w:pPr>
              <w:keepNext/>
              <w:keepLines/>
              <w:tabs>
                <w:tab w:val="left" w:pos="288"/>
                <w:tab w:val="left" w:pos="576"/>
                <w:tab w:val="left" w:pos="864"/>
                <w:tab w:val="left" w:pos="1152"/>
              </w:tabs>
              <w:spacing w:before="40" w:after="40" w:line="200" w:lineRule="exact"/>
              <w:ind w:right="43"/>
              <w:rPr>
                <w:sz w:val="17"/>
                <w:szCs w:val="17"/>
              </w:rPr>
            </w:pPr>
            <w:hyperlink r:id="rId57" w:history="1">
              <w:r w:rsidR="00D85B7D" w:rsidRPr="00D85B7D">
                <w:rPr>
                  <w:rStyle w:val="Hyperlink"/>
                  <w:sz w:val="17"/>
                  <w:szCs w:val="17"/>
                </w:rPr>
                <w:t>71/327</w:t>
              </w:r>
            </w:hyperlink>
          </w:p>
        </w:tc>
        <w:tc>
          <w:tcPr>
            <w:tcW w:w="3689" w:type="pct"/>
            <w:shd w:val="clear" w:color="auto" w:fill="auto"/>
          </w:tcPr>
          <w:p w14:paraId="4811006D" w14:textId="77777777" w:rsidR="00D85B7D" w:rsidRPr="00D85B7D" w:rsidRDefault="00D85B7D" w:rsidP="00D85B7D">
            <w:pPr>
              <w:tabs>
                <w:tab w:val="left" w:pos="288"/>
                <w:tab w:val="left" w:pos="576"/>
                <w:tab w:val="left" w:pos="864"/>
                <w:tab w:val="left" w:pos="1152"/>
              </w:tabs>
              <w:spacing w:before="40" w:after="40" w:line="200" w:lineRule="exact"/>
              <w:ind w:left="86" w:right="43"/>
              <w:rPr>
                <w:sz w:val="17"/>
                <w:szCs w:val="17"/>
              </w:rPr>
            </w:pPr>
            <w:r w:rsidRPr="00D85B7D">
              <w:rPr>
                <w:sz w:val="17"/>
                <w:szCs w:val="17"/>
              </w:rPr>
              <w:t>The United Nations in global economic governance</w:t>
            </w:r>
          </w:p>
        </w:tc>
      </w:tr>
      <w:tr w:rsidR="00134A90" w:rsidRPr="00D85B7D" w14:paraId="033A8697" w14:textId="77777777" w:rsidTr="00674BD1">
        <w:tc>
          <w:tcPr>
            <w:tcW w:w="1311" w:type="pct"/>
            <w:shd w:val="clear" w:color="auto" w:fill="auto"/>
          </w:tcPr>
          <w:p w14:paraId="6C1C0396" w14:textId="4634B759" w:rsidR="00134A90" w:rsidRPr="00D85B7D" w:rsidRDefault="0078207D" w:rsidP="00134A90">
            <w:pPr>
              <w:tabs>
                <w:tab w:val="left" w:pos="288"/>
                <w:tab w:val="left" w:pos="576"/>
                <w:tab w:val="left" w:pos="864"/>
                <w:tab w:val="left" w:pos="1152"/>
              </w:tabs>
              <w:spacing w:before="40" w:after="40" w:line="200" w:lineRule="exact"/>
              <w:ind w:right="43"/>
              <w:rPr>
                <w:sz w:val="17"/>
                <w:szCs w:val="17"/>
              </w:rPr>
            </w:pPr>
            <w:hyperlink r:id="rId58" w:history="1">
              <w:r w:rsidR="00134A90" w:rsidRPr="00D85B7D">
                <w:rPr>
                  <w:rStyle w:val="Hyperlink"/>
                  <w:sz w:val="17"/>
                  <w:szCs w:val="17"/>
                </w:rPr>
                <w:t>7</w:t>
              </w:r>
              <w:r w:rsidR="00134A90">
                <w:rPr>
                  <w:rStyle w:val="Hyperlink"/>
                  <w:sz w:val="17"/>
                  <w:szCs w:val="17"/>
                </w:rPr>
                <w:t>5</w:t>
              </w:r>
              <w:r w:rsidR="00134A90" w:rsidRPr="00D85B7D">
                <w:rPr>
                  <w:rStyle w:val="Hyperlink"/>
                  <w:sz w:val="17"/>
                  <w:szCs w:val="17"/>
                </w:rPr>
                <w:t>/</w:t>
              </w:r>
              <w:r w:rsidR="00134A90">
                <w:rPr>
                  <w:rStyle w:val="Hyperlink"/>
                  <w:sz w:val="17"/>
                  <w:szCs w:val="17"/>
                </w:rPr>
                <w:t>176</w:t>
              </w:r>
            </w:hyperlink>
          </w:p>
        </w:tc>
        <w:tc>
          <w:tcPr>
            <w:tcW w:w="3689" w:type="pct"/>
            <w:shd w:val="clear" w:color="auto" w:fill="auto"/>
          </w:tcPr>
          <w:p w14:paraId="09C26F75" w14:textId="77777777" w:rsidR="00134A90" w:rsidRPr="00D85B7D" w:rsidRDefault="00134A90" w:rsidP="00134A90">
            <w:pPr>
              <w:tabs>
                <w:tab w:val="left" w:pos="288"/>
                <w:tab w:val="left" w:pos="576"/>
                <w:tab w:val="left" w:pos="864"/>
                <w:tab w:val="left" w:pos="1152"/>
              </w:tabs>
              <w:spacing w:before="40" w:after="40" w:line="200" w:lineRule="exact"/>
              <w:ind w:left="86" w:right="43"/>
              <w:rPr>
                <w:sz w:val="17"/>
                <w:szCs w:val="17"/>
              </w:rPr>
            </w:pPr>
            <w:r w:rsidRPr="00D85B7D">
              <w:rPr>
                <w:sz w:val="17"/>
                <w:szCs w:val="17"/>
              </w:rPr>
              <w:t>The right to privacy in the digital age</w:t>
            </w:r>
          </w:p>
        </w:tc>
      </w:tr>
    </w:tbl>
    <w:p w14:paraId="549E45A9" w14:textId="77777777" w:rsidR="00D85B7D" w:rsidRPr="00D85B7D" w:rsidRDefault="00D85B7D" w:rsidP="00D85B7D">
      <w:pPr>
        <w:spacing w:line="240" w:lineRule="auto"/>
        <w:rPr>
          <w:sz w:val="2"/>
        </w:rPr>
        <w:sectPr w:rsidR="00D85B7D" w:rsidRPr="00D85B7D" w:rsidSect="00D85B7D">
          <w:endnotePr>
            <w:numFmt w:val="decimal"/>
          </w:endnotePr>
          <w:type w:val="continuous"/>
          <w:pgSz w:w="12240" w:h="15840"/>
          <w:pgMar w:top="1440" w:right="1195" w:bottom="1152" w:left="1195" w:header="432" w:footer="504" w:gutter="0"/>
          <w:cols w:num="2" w:space="240"/>
          <w:noEndnote/>
          <w:docGrid w:linePitch="360"/>
        </w:sectPr>
      </w:pPr>
    </w:p>
    <w:p w14:paraId="62F285FD" w14:textId="77777777" w:rsidR="00D85B7D" w:rsidRPr="00B10D24" w:rsidRDefault="00D85B7D" w:rsidP="00D85B7D">
      <w:pPr>
        <w:pStyle w:val="SingleTxt"/>
        <w:spacing w:after="0" w:line="120" w:lineRule="exact"/>
        <w:rPr>
          <w:sz w:val="10"/>
        </w:rPr>
      </w:pPr>
    </w:p>
    <w:p w14:paraId="0D0B2F6D" w14:textId="4B0C4DA3" w:rsidR="00D85B7D" w:rsidRDefault="00D85B7D" w:rsidP="00D85B7D">
      <w:pPr>
        <w:pStyle w:val="H4"/>
        <w:ind w:right="1260"/>
      </w:pPr>
      <w:r w:rsidRPr="00B10D24">
        <w:t>Governing Council resolutions</w:t>
      </w:r>
    </w:p>
    <w:p w14:paraId="320B406E" w14:textId="74B38A1C" w:rsidR="0016696A" w:rsidRPr="0016696A" w:rsidRDefault="0016696A" w:rsidP="0016696A">
      <w:pPr>
        <w:pStyle w:val="SingleTxt"/>
        <w:spacing w:after="0" w:line="120" w:lineRule="exact"/>
        <w:rPr>
          <w:sz w:val="10"/>
        </w:rPr>
      </w:pPr>
    </w:p>
    <w:p w14:paraId="0FF6F416" w14:textId="6FFA2B89" w:rsidR="006352AC" w:rsidRPr="0016696A" w:rsidRDefault="006352AC" w:rsidP="0016696A">
      <w:pPr>
        <w:pStyle w:val="SingleTxt"/>
        <w:spacing w:after="0" w:line="240" w:lineRule="auto"/>
        <w:rPr>
          <w:sz w:val="2"/>
        </w:rPr>
      </w:pPr>
    </w:p>
    <w:p w14:paraId="4C5DEDB9" w14:textId="77777777" w:rsidR="0016696A" w:rsidRPr="0016696A" w:rsidRDefault="0016696A" w:rsidP="0016696A">
      <w:pPr>
        <w:pStyle w:val="SingleTxt"/>
        <w:spacing w:after="0" w:line="240" w:lineRule="auto"/>
        <w:rPr>
          <w:sz w:val="2"/>
        </w:rPr>
        <w:sectPr w:rsidR="0016696A" w:rsidRPr="0016696A" w:rsidSect="00D85B7D">
          <w:endnotePr>
            <w:numFmt w:val="decimal"/>
          </w:endnotePr>
          <w:type w:val="continuous"/>
          <w:pgSz w:w="12240" w:h="15840"/>
          <w:pgMar w:top="1440" w:right="1195" w:bottom="1152" w:left="1195" w:header="432" w:footer="504" w:gutter="0"/>
          <w:cols w:space="720"/>
          <w:noEndnote/>
          <w:docGrid w:linePitch="360"/>
        </w:sectPr>
      </w:pPr>
    </w:p>
    <w:tbl>
      <w:tblPr>
        <w:tblW w:w="5000" w:type="pct"/>
        <w:tblCellMar>
          <w:left w:w="0" w:type="dxa"/>
          <w:right w:w="0" w:type="dxa"/>
        </w:tblCellMar>
        <w:tblLook w:val="0000" w:firstRow="0" w:lastRow="0" w:firstColumn="0" w:lastColumn="0" w:noHBand="0" w:noVBand="0"/>
      </w:tblPr>
      <w:tblGrid>
        <w:gridCol w:w="1260"/>
        <w:gridCol w:w="3545"/>
      </w:tblGrid>
      <w:tr w:rsidR="0016696A" w:rsidRPr="0016696A" w14:paraId="430311F3" w14:textId="77777777" w:rsidTr="00674BD1">
        <w:tc>
          <w:tcPr>
            <w:tcW w:w="1311" w:type="pct"/>
            <w:shd w:val="clear" w:color="auto" w:fill="auto"/>
          </w:tcPr>
          <w:p w14:paraId="4E2616F6" w14:textId="77777777" w:rsidR="0016696A" w:rsidRPr="0016696A" w:rsidRDefault="0016696A" w:rsidP="0016696A">
            <w:pPr>
              <w:tabs>
                <w:tab w:val="left" w:pos="288"/>
                <w:tab w:val="left" w:pos="576"/>
                <w:tab w:val="left" w:pos="864"/>
                <w:tab w:val="left" w:pos="1152"/>
              </w:tabs>
              <w:spacing w:before="40" w:after="40" w:line="200" w:lineRule="exact"/>
              <w:ind w:right="43"/>
              <w:rPr>
                <w:sz w:val="17"/>
                <w:szCs w:val="17"/>
              </w:rPr>
            </w:pPr>
            <w:r w:rsidRPr="0016696A">
              <w:rPr>
                <w:sz w:val="17"/>
                <w:szCs w:val="17"/>
              </w:rPr>
              <w:t>19/4</w:t>
            </w:r>
          </w:p>
        </w:tc>
        <w:tc>
          <w:tcPr>
            <w:tcW w:w="3689" w:type="pct"/>
            <w:shd w:val="clear" w:color="auto" w:fill="auto"/>
          </w:tcPr>
          <w:p w14:paraId="264BBFA0"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Cooperation between the United Nations Human Settlements Programme and the United Nations Environment Programme</w:t>
            </w:r>
          </w:p>
        </w:tc>
      </w:tr>
      <w:tr w:rsidR="0016696A" w:rsidRPr="0016696A" w14:paraId="2C808242" w14:textId="77777777" w:rsidTr="00674BD1">
        <w:tc>
          <w:tcPr>
            <w:tcW w:w="1311" w:type="pct"/>
            <w:shd w:val="clear" w:color="auto" w:fill="auto"/>
          </w:tcPr>
          <w:p w14:paraId="67D4734A" w14:textId="77777777" w:rsidR="0016696A" w:rsidRPr="0016696A" w:rsidRDefault="0016696A" w:rsidP="0016696A">
            <w:pPr>
              <w:tabs>
                <w:tab w:val="left" w:pos="288"/>
                <w:tab w:val="left" w:pos="576"/>
                <w:tab w:val="left" w:pos="864"/>
                <w:tab w:val="left" w:pos="1152"/>
              </w:tabs>
              <w:spacing w:before="40" w:after="40" w:line="200" w:lineRule="exact"/>
              <w:ind w:right="43"/>
              <w:rPr>
                <w:sz w:val="17"/>
                <w:szCs w:val="17"/>
              </w:rPr>
            </w:pPr>
            <w:r w:rsidRPr="0016696A">
              <w:rPr>
                <w:sz w:val="17"/>
                <w:szCs w:val="17"/>
              </w:rPr>
              <w:t>24/3</w:t>
            </w:r>
          </w:p>
        </w:tc>
        <w:tc>
          <w:tcPr>
            <w:tcW w:w="3689" w:type="pct"/>
            <w:shd w:val="clear" w:color="auto" w:fill="auto"/>
          </w:tcPr>
          <w:p w14:paraId="5C57B9D2"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Inclusive and sustainable urban planning and elaboration of international guidelines on urban and territorial planning</w:t>
            </w:r>
          </w:p>
        </w:tc>
      </w:tr>
    </w:tbl>
    <w:p w14:paraId="096A38A8" w14:textId="77777777" w:rsidR="0016696A" w:rsidRPr="0016696A" w:rsidRDefault="0016696A" w:rsidP="0016696A">
      <w:pPr>
        <w:spacing w:line="240" w:lineRule="auto"/>
        <w:rPr>
          <w:sz w:val="2"/>
        </w:rPr>
        <w:sectPr w:rsidR="0016696A" w:rsidRPr="0016696A" w:rsidSect="0016696A">
          <w:endnotePr>
            <w:numFmt w:val="decimal"/>
          </w:endnotePr>
          <w:type w:val="continuous"/>
          <w:pgSz w:w="12240" w:h="15840"/>
          <w:pgMar w:top="1440" w:right="1195" w:bottom="1152" w:left="1195" w:header="432" w:footer="504" w:gutter="0"/>
          <w:cols w:num="2" w:space="240"/>
          <w:noEndnote/>
          <w:docGrid w:linePitch="360"/>
        </w:sectPr>
      </w:pPr>
    </w:p>
    <w:p w14:paraId="6B650A46" w14:textId="1E77FD0A" w:rsidR="00D85B7D" w:rsidRPr="0016696A" w:rsidRDefault="00D85B7D" w:rsidP="0016696A">
      <w:pPr>
        <w:pStyle w:val="SingleTxt"/>
        <w:spacing w:after="0" w:line="120" w:lineRule="exact"/>
        <w:rPr>
          <w:sz w:val="10"/>
        </w:rPr>
      </w:pPr>
    </w:p>
    <w:p w14:paraId="0C76856D" w14:textId="77777777" w:rsidR="003F219A" w:rsidRDefault="003F219A">
      <w:pPr>
        <w:suppressAutoHyphens w:val="0"/>
        <w:spacing w:after="200" w:line="276" w:lineRule="auto"/>
        <w:rPr>
          <w:i/>
          <w:spacing w:val="3"/>
        </w:rPr>
      </w:pPr>
      <w:r>
        <w:br w:type="page"/>
      </w:r>
    </w:p>
    <w:p w14:paraId="54EB49EC" w14:textId="7545A922" w:rsidR="0016696A" w:rsidRPr="00B10D24" w:rsidRDefault="0016696A" w:rsidP="0016696A">
      <w:pPr>
        <w:pStyle w:val="H4"/>
        <w:ind w:right="1260"/>
      </w:pPr>
      <w:r w:rsidRPr="00B10D24">
        <w:lastRenderedPageBreak/>
        <w:t>UN-Habitat Assembly resolution</w:t>
      </w:r>
    </w:p>
    <w:p w14:paraId="7C3330B6" w14:textId="440B2476" w:rsidR="0016696A" w:rsidRPr="0016696A" w:rsidRDefault="0016696A" w:rsidP="0016696A">
      <w:pPr>
        <w:pStyle w:val="SingleTxt"/>
        <w:spacing w:after="0" w:line="120" w:lineRule="exact"/>
        <w:rPr>
          <w:sz w:val="10"/>
        </w:rPr>
      </w:pPr>
    </w:p>
    <w:p w14:paraId="7A82AC96" w14:textId="02240203" w:rsidR="0016696A" w:rsidRPr="0016696A" w:rsidRDefault="0016696A" w:rsidP="0016696A">
      <w:pPr>
        <w:pStyle w:val="SingleTxt"/>
        <w:spacing w:after="0" w:line="240" w:lineRule="auto"/>
        <w:rPr>
          <w:sz w:val="2"/>
        </w:rPr>
      </w:pPr>
    </w:p>
    <w:p w14:paraId="74E2567A" w14:textId="77777777" w:rsidR="0016696A" w:rsidRPr="0016696A" w:rsidRDefault="0016696A" w:rsidP="0016696A">
      <w:pPr>
        <w:pStyle w:val="SingleTxt"/>
        <w:spacing w:after="0" w:line="240" w:lineRule="auto"/>
        <w:rPr>
          <w:sz w:val="2"/>
        </w:rPr>
        <w:sectPr w:rsidR="0016696A" w:rsidRPr="0016696A" w:rsidSect="0016696A">
          <w:endnotePr>
            <w:numFmt w:val="decimal"/>
          </w:endnotePr>
          <w:type w:val="continuous"/>
          <w:pgSz w:w="12240" w:h="15840"/>
          <w:pgMar w:top="1440" w:right="1195" w:bottom="1152" w:left="1195" w:header="432" w:footer="504" w:gutter="0"/>
          <w:cols w:space="720"/>
          <w:noEndnote/>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60"/>
        <w:gridCol w:w="3545"/>
      </w:tblGrid>
      <w:tr w:rsidR="0016696A" w:rsidRPr="0016696A" w14:paraId="4D3027C2" w14:textId="77777777" w:rsidTr="00674BD1">
        <w:tc>
          <w:tcPr>
            <w:tcW w:w="1311" w:type="pct"/>
            <w:shd w:val="clear" w:color="auto" w:fill="auto"/>
          </w:tcPr>
          <w:p w14:paraId="189587E1" w14:textId="77777777" w:rsidR="0016696A" w:rsidRPr="0016696A" w:rsidRDefault="0016696A" w:rsidP="00166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0" w:right="43"/>
              <w:jc w:val="left"/>
              <w:rPr>
                <w:sz w:val="17"/>
                <w:lang w:val="en-GB"/>
              </w:rPr>
            </w:pPr>
            <w:r w:rsidRPr="0016696A">
              <w:rPr>
                <w:sz w:val="17"/>
                <w:lang w:val="en-GB"/>
              </w:rPr>
              <w:t>1/5</w:t>
            </w:r>
          </w:p>
        </w:tc>
        <w:tc>
          <w:tcPr>
            <w:tcW w:w="3689" w:type="pct"/>
            <w:shd w:val="clear" w:color="auto" w:fill="auto"/>
          </w:tcPr>
          <w:p w14:paraId="3B8A8C2B" w14:textId="77777777" w:rsidR="0016696A" w:rsidRPr="0016696A" w:rsidRDefault="0016696A" w:rsidP="0016696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00" w:lineRule="exact"/>
              <w:ind w:left="86" w:right="43"/>
              <w:jc w:val="left"/>
              <w:rPr>
                <w:sz w:val="17"/>
                <w:lang w:val="en-GB"/>
              </w:rPr>
            </w:pPr>
            <w:r w:rsidRPr="0016696A">
              <w:rPr>
                <w:sz w:val="17"/>
                <w:lang w:val="en-GB"/>
              </w:rPr>
              <w:t>Enhancing urban-rural linkages for sustainable urbanization and human settlements</w:t>
            </w:r>
          </w:p>
        </w:tc>
      </w:tr>
    </w:tbl>
    <w:p w14:paraId="58C85D82" w14:textId="77777777" w:rsidR="0016696A" w:rsidRPr="0016696A" w:rsidRDefault="0016696A" w:rsidP="0016696A">
      <w:pPr>
        <w:spacing w:line="240" w:lineRule="auto"/>
        <w:rPr>
          <w:sz w:val="2"/>
        </w:rPr>
        <w:sectPr w:rsidR="0016696A" w:rsidRPr="0016696A" w:rsidSect="0016696A">
          <w:endnotePr>
            <w:numFmt w:val="decimal"/>
          </w:endnotePr>
          <w:type w:val="continuous"/>
          <w:pgSz w:w="12240" w:h="15840"/>
          <w:pgMar w:top="1440" w:right="1195" w:bottom="1152" w:left="1195" w:header="432" w:footer="504" w:gutter="0"/>
          <w:cols w:num="2" w:space="240"/>
          <w:noEndnote/>
          <w:docGrid w:linePitch="360"/>
        </w:sectPr>
      </w:pPr>
    </w:p>
    <w:p w14:paraId="3A6DE8F5" w14:textId="19B830E0" w:rsidR="0016696A" w:rsidRPr="0016696A" w:rsidRDefault="0016696A" w:rsidP="0016696A">
      <w:pPr>
        <w:pStyle w:val="SingleTxt"/>
        <w:spacing w:after="0" w:line="120" w:lineRule="exact"/>
        <w:rPr>
          <w:sz w:val="10"/>
        </w:rPr>
      </w:pPr>
    </w:p>
    <w:p w14:paraId="4A37C363" w14:textId="584F87C7" w:rsidR="0016696A" w:rsidRPr="0016696A" w:rsidRDefault="0016696A" w:rsidP="0016696A">
      <w:pPr>
        <w:pStyle w:val="SingleTxt"/>
        <w:spacing w:after="0" w:line="120" w:lineRule="exact"/>
        <w:rPr>
          <w:sz w:val="10"/>
        </w:rPr>
      </w:pPr>
    </w:p>
    <w:p w14:paraId="7E18BCD3" w14:textId="1610DB33" w:rsidR="0016696A" w:rsidRPr="0016696A" w:rsidRDefault="0016696A" w:rsidP="0016696A">
      <w:pPr>
        <w:pStyle w:val="SingleTxt"/>
        <w:spacing w:after="0" w:line="120" w:lineRule="exact"/>
        <w:rPr>
          <w:sz w:val="10"/>
        </w:rPr>
      </w:pPr>
    </w:p>
    <w:p w14:paraId="5CAB018B" w14:textId="77777777" w:rsidR="0016696A" w:rsidRPr="00B10D24" w:rsidRDefault="0016696A" w:rsidP="0016696A">
      <w:pPr>
        <w:pStyle w:val="H1"/>
        <w:ind w:right="1260"/>
      </w:pPr>
      <w:r w:rsidRPr="00B10D24">
        <w:tab/>
      </w:r>
      <w:r w:rsidRPr="00B10D24">
        <w:tab/>
        <w:t>Deliverables</w:t>
      </w:r>
    </w:p>
    <w:p w14:paraId="27671E25"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9FC337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B4EC3F5"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15.78</w:t>
      </w:r>
      <w:r w:rsidRPr="00B10D24">
        <w:tab/>
        <w:t>Table 15.5 lists all deliverables, by category and subcategory, for the period 2020–2022 that contributed and are expected to contribute to the attainment of the objective stated above.</w:t>
      </w:r>
    </w:p>
    <w:p w14:paraId="37C0472D"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6775386"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t>Table 15.5</w:t>
      </w:r>
    </w:p>
    <w:p w14:paraId="0ACC3524"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 xml:space="preserve">Subprogramme 2: deliverables for the period 2020–2022, by category and subcategory </w:t>
      </w:r>
    </w:p>
    <w:p w14:paraId="571F6A69"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B423128"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561"/>
        <w:gridCol w:w="822"/>
        <w:gridCol w:w="822"/>
        <w:gridCol w:w="822"/>
        <w:gridCol w:w="823"/>
      </w:tblGrid>
      <w:tr w:rsidR="0016696A" w:rsidRPr="00B10D24" w14:paraId="3730E270" w14:textId="77777777" w:rsidTr="00206464">
        <w:trPr>
          <w:trHeight w:val="20"/>
          <w:tblHeader/>
        </w:trPr>
        <w:tc>
          <w:tcPr>
            <w:tcW w:w="6561" w:type="dxa"/>
            <w:tcBorders>
              <w:top w:val="single" w:sz="4" w:space="0" w:color="auto"/>
            </w:tcBorders>
            <w:shd w:val="clear" w:color="auto" w:fill="auto"/>
            <w:vAlign w:val="bottom"/>
          </w:tcPr>
          <w:p w14:paraId="6564C4C3" w14:textId="77777777" w:rsidR="0016696A" w:rsidRPr="00B10D24" w:rsidRDefault="0016696A" w:rsidP="00206464">
            <w:pPr>
              <w:pStyle w:val="SingleTxt"/>
              <w:spacing w:before="81" w:after="81" w:line="160" w:lineRule="exact"/>
              <w:ind w:left="0" w:right="40"/>
              <w:jc w:val="left"/>
              <w:rPr>
                <w:i/>
                <w:sz w:val="14"/>
                <w:lang w:val="en-GB"/>
              </w:rPr>
            </w:pPr>
            <w:r w:rsidRPr="00B10D24">
              <w:rPr>
                <w:i/>
                <w:sz w:val="14"/>
                <w:lang w:val="en-GB"/>
              </w:rPr>
              <w:t>Category and subcategory</w:t>
            </w:r>
          </w:p>
        </w:tc>
        <w:tc>
          <w:tcPr>
            <w:tcW w:w="822" w:type="dxa"/>
            <w:tcBorders>
              <w:top w:val="single" w:sz="4" w:space="0" w:color="auto"/>
            </w:tcBorders>
            <w:shd w:val="clear" w:color="auto" w:fill="auto"/>
            <w:vAlign w:val="bottom"/>
          </w:tcPr>
          <w:p w14:paraId="65DD6925"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B10D24">
              <w:rPr>
                <w:i/>
                <w:sz w:val="14"/>
                <w:lang w:val="en-GB"/>
              </w:rPr>
              <w:t>2020 planned</w:t>
            </w:r>
          </w:p>
        </w:tc>
        <w:tc>
          <w:tcPr>
            <w:tcW w:w="822" w:type="dxa"/>
            <w:tcBorders>
              <w:top w:val="single" w:sz="4" w:space="0" w:color="auto"/>
            </w:tcBorders>
            <w:shd w:val="clear" w:color="auto" w:fill="auto"/>
            <w:vAlign w:val="bottom"/>
          </w:tcPr>
          <w:p w14:paraId="7A179764"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B10D24">
              <w:rPr>
                <w:i/>
                <w:sz w:val="14"/>
                <w:lang w:val="en-GB"/>
              </w:rPr>
              <w:t>2020 actual</w:t>
            </w:r>
          </w:p>
        </w:tc>
        <w:tc>
          <w:tcPr>
            <w:tcW w:w="822" w:type="dxa"/>
            <w:tcBorders>
              <w:top w:val="single" w:sz="4" w:space="0" w:color="auto"/>
            </w:tcBorders>
            <w:shd w:val="clear" w:color="auto" w:fill="auto"/>
            <w:vAlign w:val="bottom"/>
          </w:tcPr>
          <w:p w14:paraId="7617C731"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B10D24">
              <w:rPr>
                <w:i/>
                <w:sz w:val="14"/>
                <w:lang w:val="en-GB"/>
              </w:rPr>
              <w:t>2021 planned</w:t>
            </w:r>
          </w:p>
        </w:tc>
        <w:tc>
          <w:tcPr>
            <w:tcW w:w="823" w:type="dxa"/>
            <w:tcBorders>
              <w:top w:val="single" w:sz="4" w:space="0" w:color="auto"/>
            </w:tcBorders>
            <w:shd w:val="clear" w:color="auto" w:fill="auto"/>
            <w:vAlign w:val="bottom"/>
          </w:tcPr>
          <w:p w14:paraId="0941AA5A" w14:textId="12F08C69"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lang w:val="en-GB"/>
              </w:rPr>
            </w:pPr>
            <w:r w:rsidRPr="00B10D24">
              <w:rPr>
                <w:i/>
                <w:sz w:val="14"/>
                <w:lang w:val="en-GB"/>
              </w:rPr>
              <w:t>2022 planned</w:t>
            </w:r>
            <w:r w:rsidR="00206464" w:rsidRPr="00206464">
              <w:rPr>
                <w:i/>
                <w:sz w:val="14"/>
                <w:vertAlign w:val="superscript"/>
                <w:lang w:val="en-GB"/>
              </w:rPr>
              <w:t>a</w:t>
            </w:r>
          </w:p>
        </w:tc>
      </w:tr>
      <w:tr w:rsidR="0016696A" w:rsidRPr="00B10D24" w14:paraId="3E34CE1B" w14:textId="77777777" w:rsidTr="00206464">
        <w:trPr>
          <w:trHeight w:hRule="exact" w:val="115"/>
          <w:tblHeader/>
        </w:trPr>
        <w:tc>
          <w:tcPr>
            <w:tcW w:w="6561" w:type="dxa"/>
            <w:tcBorders>
              <w:top w:val="single" w:sz="12" w:space="0" w:color="auto"/>
            </w:tcBorders>
            <w:shd w:val="clear" w:color="auto" w:fill="auto"/>
            <w:vAlign w:val="bottom"/>
          </w:tcPr>
          <w:p w14:paraId="696BAED0"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lang w:val="en-GB"/>
              </w:rPr>
            </w:pPr>
          </w:p>
        </w:tc>
        <w:tc>
          <w:tcPr>
            <w:tcW w:w="822" w:type="dxa"/>
            <w:tcBorders>
              <w:top w:val="single" w:sz="12" w:space="0" w:color="auto"/>
            </w:tcBorders>
            <w:shd w:val="clear" w:color="auto" w:fill="auto"/>
            <w:vAlign w:val="bottom"/>
          </w:tcPr>
          <w:p w14:paraId="631E5061"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22" w:type="dxa"/>
            <w:tcBorders>
              <w:top w:val="single" w:sz="12" w:space="0" w:color="auto"/>
            </w:tcBorders>
            <w:shd w:val="clear" w:color="auto" w:fill="auto"/>
            <w:vAlign w:val="bottom"/>
          </w:tcPr>
          <w:p w14:paraId="1CFE8BE2"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22" w:type="dxa"/>
            <w:tcBorders>
              <w:top w:val="single" w:sz="12" w:space="0" w:color="auto"/>
            </w:tcBorders>
            <w:shd w:val="clear" w:color="auto" w:fill="auto"/>
            <w:vAlign w:val="bottom"/>
          </w:tcPr>
          <w:p w14:paraId="6C490D21"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c>
          <w:tcPr>
            <w:tcW w:w="823" w:type="dxa"/>
            <w:tcBorders>
              <w:top w:val="single" w:sz="12" w:space="0" w:color="auto"/>
            </w:tcBorders>
            <w:shd w:val="clear" w:color="auto" w:fill="auto"/>
            <w:vAlign w:val="bottom"/>
          </w:tcPr>
          <w:p w14:paraId="49899563"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lang w:val="en-GB"/>
              </w:rPr>
            </w:pPr>
          </w:p>
        </w:tc>
      </w:tr>
      <w:tr w:rsidR="0016696A" w:rsidRPr="00B10D24" w14:paraId="7CBDC6CD" w14:textId="77777777" w:rsidTr="00206464">
        <w:tc>
          <w:tcPr>
            <w:tcW w:w="6561" w:type="dxa"/>
            <w:shd w:val="clear" w:color="auto" w:fill="auto"/>
            <w:vAlign w:val="bottom"/>
          </w:tcPr>
          <w:p w14:paraId="0AD3C52B"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lang w:val="en-GB"/>
              </w:rPr>
            </w:pPr>
            <w:r w:rsidRPr="00B10D24">
              <w:rPr>
                <w:b/>
                <w:bCs/>
                <w:sz w:val="17"/>
                <w:lang w:val="en-GB"/>
              </w:rPr>
              <w:t>B.</w:t>
            </w:r>
            <w:r w:rsidRPr="00B10D24">
              <w:rPr>
                <w:b/>
                <w:bCs/>
                <w:sz w:val="17"/>
                <w:lang w:val="en-GB"/>
              </w:rPr>
              <w:tab/>
              <w:t>Generation and transfer of knowledge</w:t>
            </w:r>
          </w:p>
        </w:tc>
        <w:tc>
          <w:tcPr>
            <w:tcW w:w="822" w:type="dxa"/>
            <w:shd w:val="clear" w:color="auto" w:fill="auto"/>
            <w:vAlign w:val="bottom"/>
          </w:tcPr>
          <w:p w14:paraId="793FB08D"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p>
        </w:tc>
        <w:tc>
          <w:tcPr>
            <w:tcW w:w="822" w:type="dxa"/>
            <w:shd w:val="clear" w:color="auto" w:fill="auto"/>
            <w:vAlign w:val="bottom"/>
          </w:tcPr>
          <w:p w14:paraId="1B64F854"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p>
        </w:tc>
        <w:tc>
          <w:tcPr>
            <w:tcW w:w="822" w:type="dxa"/>
            <w:shd w:val="clear" w:color="auto" w:fill="auto"/>
            <w:vAlign w:val="bottom"/>
          </w:tcPr>
          <w:p w14:paraId="0B975F99"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p>
        </w:tc>
        <w:tc>
          <w:tcPr>
            <w:tcW w:w="823" w:type="dxa"/>
            <w:shd w:val="clear" w:color="auto" w:fill="auto"/>
            <w:vAlign w:val="bottom"/>
          </w:tcPr>
          <w:p w14:paraId="493B2315"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p>
        </w:tc>
      </w:tr>
      <w:tr w:rsidR="0016696A" w:rsidRPr="00B10D24" w14:paraId="3A9EFBA3" w14:textId="77777777" w:rsidTr="00206464">
        <w:tc>
          <w:tcPr>
            <w:tcW w:w="6561" w:type="dxa"/>
            <w:shd w:val="clear" w:color="auto" w:fill="auto"/>
            <w:vAlign w:val="bottom"/>
          </w:tcPr>
          <w:p w14:paraId="17808F13"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lang w:val="en-GB"/>
              </w:rPr>
            </w:pPr>
            <w:r w:rsidRPr="00B10D24">
              <w:rPr>
                <w:b/>
                <w:bCs/>
                <w:sz w:val="17"/>
                <w:lang w:val="en-GB"/>
              </w:rPr>
              <w:tab/>
              <w:t xml:space="preserve">Field and technical cooperation projects </w:t>
            </w:r>
            <w:r w:rsidRPr="00B10D24">
              <w:rPr>
                <w:sz w:val="17"/>
                <w:lang w:val="en-GB"/>
              </w:rPr>
              <w:t>(number of projects)</w:t>
            </w:r>
          </w:p>
        </w:tc>
        <w:tc>
          <w:tcPr>
            <w:tcW w:w="822" w:type="dxa"/>
            <w:shd w:val="clear" w:color="auto" w:fill="auto"/>
            <w:vAlign w:val="bottom"/>
          </w:tcPr>
          <w:p w14:paraId="39FD9542"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sz w:val="17"/>
                <w:lang w:val="en-GB"/>
              </w:rPr>
              <w:t>37</w:t>
            </w:r>
          </w:p>
        </w:tc>
        <w:tc>
          <w:tcPr>
            <w:tcW w:w="822" w:type="dxa"/>
            <w:shd w:val="clear" w:color="auto" w:fill="auto"/>
            <w:vAlign w:val="bottom"/>
          </w:tcPr>
          <w:p w14:paraId="5053D825"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sz w:val="17"/>
                <w:lang w:val="en-GB"/>
              </w:rPr>
              <w:t>28</w:t>
            </w:r>
          </w:p>
        </w:tc>
        <w:tc>
          <w:tcPr>
            <w:tcW w:w="822" w:type="dxa"/>
            <w:shd w:val="clear" w:color="auto" w:fill="auto"/>
            <w:vAlign w:val="bottom"/>
          </w:tcPr>
          <w:p w14:paraId="3B97F51C"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sz w:val="17"/>
                <w:lang w:val="en-GB"/>
              </w:rPr>
              <w:t>50</w:t>
            </w:r>
          </w:p>
        </w:tc>
        <w:tc>
          <w:tcPr>
            <w:tcW w:w="823" w:type="dxa"/>
            <w:shd w:val="clear" w:color="auto" w:fill="auto"/>
            <w:vAlign w:val="bottom"/>
          </w:tcPr>
          <w:p w14:paraId="4FA2FBB4"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sz w:val="17"/>
                <w:lang w:val="en-GB"/>
              </w:rPr>
              <w:t>29</w:t>
            </w:r>
          </w:p>
        </w:tc>
      </w:tr>
      <w:tr w:rsidR="0016696A" w:rsidRPr="00B10D24" w14:paraId="297E8D6D" w14:textId="77777777" w:rsidTr="00206464">
        <w:tc>
          <w:tcPr>
            <w:tcW w:w="6561" w:type="dxa"/>
            <w:shd w:val="clear" w:color="auto" w:fill="auto"/>
            <w:vAlign w:val="bottom"/>
          </w:tcPr>
          <w:p w14:paraId="00286E7E"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0" w:hanging="576"/>
              <w:jc w:val="left"/>
              <w:rPr>
                <w:sz w:val="17"/>
                <w:lang w:val="en-GB"/>
              </w:rPr>
            </w:pPr>
            <w:r w:rsidRPr="00B10D24">
              <w:rPr>
                <w:sz w:val="17"/>
                <w:lang w:val="en-GB"/>
              </w:rPr>
              <w:tab/>
              <w:t>1.</w:t>
            </w:r>
            <w:r w:rsidRPr="00B10D24">
              <w:rPr>
                <w:sz w:val="17"/>
                <w:lang w:val="en-GB"/>
              </w:rPr>
              <w:tab/>
              <w:t>National, urban, regional and interregional projects on spatial connectivity, urban policies and spatial frameworks, urban planning and design, urban-rural linkages and integrated territorial development, city planning, extension and design</w:t>
            </w:r>
          </w:p>
        </w:tc>
        <w:tc>
          <w:tcPr>
            <w:tcW w:w="822" w:type="dxa"/>
            <w:shd w:val="clear" w:color="auto" w:fill="auto"/>
            <w:vAlign w:val="bottom"/>
          </w:tcPr>
          <w:p w14:paraId="2A2375D2"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10</w:t>
            </w:r>
          </w:p>
        </w:tc>
        <w:tc>
          <w:tcPr>
            <w:tcW w:w="822" w:type="dxa"/>
            <w:shd w:val="clear" w:color="auto" w:fill="auto"/>
            <w:vAlign w:val="bottom"/>
          </w:tcPr>
          <w:p w14:paraId="2D6BCCE9"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10</w:t>
            </w:r>
          </w:p>
        </w:tc>
        <w:tc>
          <w:tcPr>
            <w:tcW w:w="822" w:type="dxa"/>
            <w:shd w:val="clear" w:color="auto" w:fill="auto"/>
            <w:vAlign w:val="bottom"/>
          </w:tcPr>
          <w:p w14:paraId="1BA0E3C8"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15</w:t>
            </w:r>
          </w:p>
        </w:tc>
        <w:tc>
          <w:tcPr>
            <w:tcW w:w="823" w:type="dxa"/>
            <w:shd w:val="clear" w:color="auto" w:fill="auto"/>
            <w:vAlign w:val="bottom"/>
          </w:tcPr>
          <w:p w14:paraId="064F4108"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14</w:t>
            </w:r>
          </w:p>
        </w:tc>
      </w:tr>
      <w:tr w:rsidR="0016696A" w:rsidRPr="00B10D24" w14:paraId="3C46CB9B" w14:textId="77777777" w:rsidTr="00206464">
        <w:tc>
          <w:tcPr>
            <w:tcW w:w="6561" w:type="dxa"/>
            <w:shd w:val="clear" w:color="auto" w:fill="auto"/>
            <w:vAlign w:val="bottom"/>
          </w:tcPr>
          <w:p w14:paraId="770446F1"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0" w:hanging="576"/>
              <w:jc w:val="left"/>
              <w:rPr>
                <w:sz w:val="17"/>
                <w:lang w:val="en-GB"/>
              </w:rPr>
            </w:pPr>
            <w:r w:rsidRPr="00B10D24">
              <w:rPr>
                <w:sz w:val="17"/>
                <w:lang w:val="en-GB"/>
              </w:rPr>
              <w:tab/>
              <w:t>2.</w:t>
            </w:r>
            <w:r w:rsidRPr="00B10D24">
              <w:rPr>
                <w:sz w:val="17"/>
                <w:lang w:val="en-GB"/>
              </w:rPr>
              <w:tab/>
              <w:t>National, urban, regional and interregional projects on spatial productivity, local economic development, urban and municipal finance, financing urban basic services and infrastructure</w:t>
            </w:r>
          </w:p>
        </w:tc>
        <w:tc>
          <w:tcPr>
            <w:tcW w:w="822" w:type="dxa"/>
            <w:shd w:val="clear" w:color="auto" w:fill="auto"/>
            <w:vAlign w:val="bottom"/>
          </w:tcPr>
          <w:p w14:paraId="7A227C2A"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11</w:t>
            </w:r>
          </w:p>
        </w:tc>
        <w:tc>
          <w:tcPr>
            <w:tcW w:w="822" w:type="dxa"/>
            <w:shd w:val="clear" w:color="auto" w:fill="auto"/>
            <w:vAlign w:val="bottom"/>
          </w:tcPr>
          <w:p w14:paraId="180257C3"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9</w:t>
            </w:r>
          </w:p>
        </w:tc>
        <w:tc>
          <w:tcPr>
            <w:tcW w:w="822" w:type="dxa"/>
            <w:shd w:val="clear" w:color="auto" w:fill="auto"/>
            <w:vAlign w:val="bottom"/>
          </w:tcPr>
          <w:p w14:paraId="2CED9B19"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15</w:t>
            </w:r>
          </w:p>
        </w:tc>
        <w:tc>
          <w:tcPr>
            <w:tcW w:w="823" w:type="dxa"/>
            <w:shd w:val="clear" w:color="auto" w:fill="auto"/>
            <w:vAlign w:val="bottom"/>
          </w:tcPr>
          <w:p w14:paraId="3263DDF5"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7</w:t>
            </w:r>
          </w:p>
        </w:tc>
      </w:tr>
      <w:tr w:rsidR="0016696A" w:rsidRPr="00B10D24" w14:paraId="52002D6D" w14:textId="77777777" w:rsidTr="00206464">
        <w:tc>
          <w:tcPr>
            <w:tcW w:w="6561" w:type="dxa"/>
            <w:shd w:val="clear" w:color="auto" w:fill="auto"/>
            <w:vAlign w:val="bottom"/>
          </w:tcPr>
          <w:p w14:paraId="02FDDDB7"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lang w:val="en-GB"/>
              </w:rPr>
            </w:pPr>
            <w:r w:rsidRPr="00B10D24">
              <w:rPr>
                <w:sz w:val="17"/>
                <w:lang w:val="en-GB"/>
              </w:rPr>
              <w:tab/>
              <w:t>3.</w:t>
            </w:r>
            <w:r w:rsidRPr="00B10D24">
              <w:rPr>
                <w:sz w:val="17"/>
                <w:lang w:val="en-GB"/>
              </w:rPr>
              <w:tab/>
              <w:t>National, urban, regional and interregional projects on best practices, centres of excellence, university partnerships, prosperity indices, frontier technologies and legal and governance frameworks for sustainable, inclusive and innovative development of cities and regions</w:t>
            </w:r>
          </w:p>
        </w:tc>
        <w:tc>
          <w:tcPr>
            <w:tcW w:w="822" w:type="dxa"/>
            <w:shd w:val="clear" w:color="auto" w:fill="auto"/>
            <w:vAlign w:val="bottom"/>
          </w:tcPr>
          <w:p w14:paraId="602F783D"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16</w:t>
            </w:r>
          </w:p>
        </w:tc>
        <w:tc>
          <w:tcPr>
            <w:tcW w:w="822" w:type="dxa"/>
            <w:shd w:val="clear" w:color="auto" w:fill="auto"/>
            <w:vAlign w:val="bottom"/>
          </w:tcPr>
          <w:p w14:paraId="1824B64C"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9</w:t>
            </w:r>
          </w:p>
        </w:tc>
        <w:tc>
          <w:tcPr>
            <w:tcW w:w="822" w:type="dxa"/>
            <w:shd w:val="clear" w:color="auto" w:fill="auto"/>
            <w:vAlign w:val="bottom"/>
          </w:tcPr>
          <w:p w14:paraId="53724EEF"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20</w:t>
            </w:r>
          </w:p>
        </w:tc>
        <w:tc>
          <w:tcPr>
            <w:tcW w:w="823" w:type="dxa"/>
            <w:shd w:val="clear" w:color="auto" w:fill="auto"/>
            <w:vAlign w:val="bottom"/>
          </w:tcPr>
          <w:p w14:paraId="634B120B"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8</w:t>
            </w:r>
          </w:p>
        </w:tc>
      </w:tr>
      <w:tr w:rsidR="0016696A" w:rsidRPr="00B10D24" w14:paraId="39806783" w14:textId="77777777" w:rsidTr="00206464">
        <w:tc>
          <w:tcPr>
            <w:tcW w:w="6561" w:type="dxa"/>
            <w:shd w:val="clear" w:color="auto" w:fill="auto"/>
            <w:vAlign w:val="bottom"/>
          </w:tcPr>
          <w:p w14:paraId="6BDB8AFB"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lang w:val="en-GB"/>
              </w:rPr>
            </w:pPr>
            <w:r w:rsidRPr="00B10D24">
              <w:rPr>
                <w:b/>
                <w:bCs/>
                <w:sz w:val="17"/>
                <w:lang w:val="en-GB"/>
              </w:rPr>
              <w:tab/>
              <w:t xml:space="preserve">Seminars, workshops and training events </w:t>
            </w:r>
            <w:r w:rsidRPr="00B10D24">
              <w:rPr>
                <w:sz w:val="17"/>
                <w:lang w:val="en-GB"/>
              </w:rPr>
              <w:t>(number of days)</w:t>
            </w:r>
          </w:p>
        </w:tc>
        <w:tc>
          <w:tcPr>
            <w:tcW w:w="822" w:type="dxa"/>
            <w:shd w:val="clear" w:color="auto" w:fill="auto"/>
            <w:vAlign w:val="bottom"/>
          </w:tcPr>
          <w:p w14:paraId="606FBDF6"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74</w:t>
            </w:r>
          </w:p>
        </w:tc>
        <w:tc>
          <w:tcPr>
            <w:tcW w:w="822" w:type="dxa"/>
            <w:shd w:val="clear" w:color="auto" w:fill="auto"/>
            <w:vAlign w:val="bottom"/>
          </w:tcPr>
          <w:p w14:paraId="39D76D18"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50</w:t>
            </w:r>
          </w:p>
        </w:tc>
        <w:tc>
          <w:tcPr>
            <w:tcW w:w="822" w:type="dxa"/>
            <w:shd w:val="clear" w:color="auto" w:fill="auto"/>
            <w:vAlign w:val="bottom"/>
          </w:tcPr>
          <w:p w14:paraId="18810CAF"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66</w:t>
            </w:r>
          </w:p>
        </w:tc>
        <w:tc>
          <w:tcPr>
            <w:tcW w:w="823" w:type="dxa"/>
            <w:shd w:val="clear" w:color="auto" w:fill="auto"/>
            <w:vAlign w:val="bottom"/>
          </w:tcPr>
          <w:p w14:paraId="29D05CAF"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szCs w:val="17"/>
                <w:lang w:val="en-GB"/>
              </w:rPr>
              <w:t>39</w:t>
            </w:r>
          </w:p>
        </w:tc>
      </w:tr>
      <w:tr w:rsidR="0016696A" w:rsidRPr="00B10D24" w14:paraId="7C1C2852" w14:textId="77777777" w:rsidTr="00206464">
        <w:tc>
          <w:tcPr>
            <w:tcW w:w="6561" w:type="dxa"/>
            <w:shd w:val="clear" w:color="auto" w:fill="auto"/>
            <w:vAlign w:val="bottom"/>
          </w:tcPr>
          <w:p w14:paraId="0E0FE070"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0" w:hanging="576"/>
              <w:jc w:val="left"/>
              <w:rPr>
                <w:sz w:val="17"/>
                <w:lang w:val="en-GB"/>
              </w:rPr>
            </w:pPr>
            <w:r w:rsidRPr="00B10D24">
              <w:rPr>
                <w:sz w:val="17"/>
                <w:lang w:val="en-GB"/>
              </w:rPr>
              <w:tab/>
              <w:t>4.</w:t>
            </w:r>
            <w:r w:rsidRPr="00B10D24">
              <w:rPr>
                <w:sz w:val="17"/>
                <w:lang w:val="en-GB"/>
              </w:rPr>
              <w:tab/>
              <w:t>Policy dialogues, seminars, workshops and training events on spatial connectivity, urban planning and design, metropolitan planning, urban and rural linkages, action planning, urban and territorial planning and national urban policies</w:t>
            </w:r>
          </w:p>
        </w:tc>
        <w:tc>
          <w:tcPr>
            <w:tcW w:w="822" w:type="dxa"/>
            <w:shd w:val="clear" w:color="auto" w:fill="auto"/>
            <w:vAlign w:val="bottom"/>
          </w:tcPr>
          <w:p w14:paraId="1221E5FB"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41</w:t>
            </w:r>
          </w:p>
        </w:tc>
        <w:tc>
          <w:tcPr>
            <w:tcW w:w="822" w:type="dxa"/>
            <w:shd w:val="clear" w:color="auto" w:fill="auto"/>
            <w:vAlign w:val="bottom"/>
          </w:tcPr>
          <w:p w14:paraId="398097FD"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41</w:t>
            </w:r>
          </w:p>
        </w:tc>
        <w:tc>
          <w:tcPr>
            <w:tcW w:w="822" w:type="dxa"/>
            <w:shd w:val="clear" w:color="auto" w:fill="auto"/>
            <w:vAlign w:val="bottom"/>
          </w:tcPr>
          <w:p w14:paraId="15539B88"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44</w:t>
            </w:r>
          </w:p>
        </w:tc>
        <w:tc>
          <w:tcPr>
            <w:tcW w:w="823" w:type="dxa"/>
            <w:shd w:val="clear" w:color="auto" w:fill="auto"/>
            <w:vAlign w:val="bottom"/>
          </w:tcPr>
          <w:p w14:paraId="438262FC"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25</w:t>
            </w:r>
          </w:p>
        </w:tc>
      </w:tr>
      <w:tr w:rsidR="0016696A" w:rsidRPr="00B10D24" w14:paraId="4559F051" w14:textId="77777777" w:rsidTr="00206464">
        <w:tc>
          <w:tcPr>
            <w:tcW w:w="6561" w:type="dxa"/>
            <w:shd w:val="clear" w:color="auto" w:fill="auto"/>
            <w:vAlign w:val="bottom"/>
          </w:tcPr>
          <w:p w14:paraId="5F43DCA1"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0" w:hanging="576"/>
              <w:jc w:val="left"/>
              <w:rPr>
                <w:sz w:val="17"/>
                <w:lang w:val="en-GB"/>
              </w:rPr>
            </w:pPr>
            <w:r w:rsidRPr="00B10D24">
              <w:rPr>
                <w:sz w:val="17"/>
                <w:lang w:val="en-GB"/>
              </w:rPr>
              <w:tab/>
              <w:t>5.</w:t>
            </w:r>
            <w:r w:rsidRPr="00B10D24">
              <w:rPr>
                <w:sz w:val="17"/>
                <w:lang w:val="en-GB"/>
              </w:rPr>
              <w:tab/>
              <w:t>Training events and workshops on use of information and communications technology, innovation, frontier technologies, best practices, legal and governance frameworks and prosperity indices for sustainable urban development and implementation of the New Urban Agenda and the Sustainable Development Goals</w:t>
            </w:r>
          </w:p>
        </w:tc>
        <w:tc>
          <w:tcPr>
            <w:tcW w:w="822" w:type="dxa"/>
            <w:shd w:val="clear" w:color="auto" w:fill="auto"/>
            <w:vAlign w:val="bottom"/>
          </w:tcPr>
          <w:p w14:paraId="4973FCA8"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21</w:t>
            </w:r>
          </w:p>
        </w:tc>
        <w:tc>
          <w:tcPr>
            <w:tcW w:w="822" w:type="dxa"/>
            <w:shd w:val="clear" w:color="auto" w:fill="auto"/>
            <w:vAlign w:val="bottom"/>
          </w:tcPr>
          <w:p w14:paraId="01B08FA7"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3</w:t>
            </w:r>
          </w:p>
        </w:tc>
        <w:tc>
          <w:tcPr>
            <w:tcW w:w="822" w:type="dxa"/>
            <w:shd w:val="clear" w:color="auto" w:fill="auto"/>
            <w:vAlign w:val="bottom"/>
          </w:tcPr>
          <w:p w14:paraId="6D83AC3E"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21</w:t>
            </w:r>
          </w:p>
        </w:tc>
        <w:tc>
          <w:tcPr>
            <w:tcW w:w="823" w:type="dxa"/>
            <w:shd w:val="clear" w:color="auto" w:fill="auto"/>
            <w:vAlign w:val="bottom"/>
          </w:tcPr>
          <w:p w14:paraId="6F73B7AA"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6</w:t>
            </w:r>
          </w:p>
        </w:tc>
      </w:tr>
      <w:tr w:rsidR="0016696A" w:rsidRPr="00B10D24" w14:paraId="4DD18D9A" w14:textId="77777777" w:rsidTr="00206464">
        <w:tc>
          <w:tcPr>
            <w:tcW w:w="6561" w:type="dxa"/>
            <w:shd w:val="clear" w:color="auto" w:fill="auto"/>
            <w:vAlign w:val="bottom"/>
          </w:tcPr>
          <w:p w14:paraId="26651B22"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lang w:val="en-GB"/>
              </w:rPr>
            </w:pPr>
            <w:r w:rsidRPr="00B10D24">
              <w:rPr>
                <w:sz w:val="17"/>
                <w:lang w:val="en-GB"/>
              </w:rPr>
              <w:tab/>
              <w:t>6.</w:t>
            </w:r>
            <w:r w:rsidRPr="00B10D24">
              <w:rPr>
                <w:sz w:val="17"/>
                <w:lang w:val="en-GB"/>
              </w:rPr>
              <w:tab/>
              <w:t>Training events and workshops on urban productivity, local economic development, urban and municipal finance, public financial management and local governance</w:t>
            </w:r>
          </w:p>
        </w:tc>
        <w:tc>
          <w:tcPr>
            <w:tcW w:w="822" w:type="dxa"/>
            <w:shd w:val="clear" w:color="auto" w:fill="auto"/>
            <w:vAlign w:val="bottom"/>
          </w:tcPr>
          <w:p w14:paraId="0FCEBAAD"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12</w:t>
            </w:r>
          </w:p>
        </w:tc>
        <w:tc>
          <w:tcPr>
            <w:tcW w:w="822" w:type="dxa"/>
            <w:shd w:val="clear" w:color="auto" w:fill="auto"/>
            <w:vAlign w:val="bottom"/>
          </w:tcPr>
          <w:p w14:paraId="08DC31BA"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6</w:t>
            </w:r>
          </w:p>
        </w:tc>
        <w:tc>
          <w:tcPr>
            <w:tcW w:w="822" w:type="dxa"/>
            <w:shd w:val="clear" w:color="auto" w:fill="auto"/>
            <w:vAlign w:val="bottom"/>
          </w:tcPr>
          <w:p w14:paraId="026C6CDD"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c>
          <w:tcPr>
            <w:tcW w:w="823" w:type="dxa"/>
            <w:shd w:val="clear" w:color="auto" w:fill="auto"/>
            <w:vAlign w:val="bottom"/>
          </w:tcPr>
          <w:p w14:paraId="149907EB"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8</w:t>
            </w:r>
          </w:p>
        </w:tc>
      </w:tr>
      <w:tr w:rsidR="0016696A" w:rsidRPr="00B10D24" w14:paraId="596557E1" w14:textId="77777777" w:rsidTr="00206464">
        <w:tc>
          <w:tcPr>
            <w:tcW w:w="6561" w:type="dxa"/>
            <w:shd w:val="clear" w:color="auto" w:fill="auto"/>
            <w:vAlign w:val="bottom"/>
          </w:tcPr>
          <w:p w14:paraId="7B322582"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lang w:val="en-GB"/>
              </w:rPr>
            </w:pPr>
            <w:r w:rsidRPr="00B10D24">
              <w:rPr>
                <w:b/>
                <w:bCs/>
                <w:sz w:val="17"/>
                <w:lang w:val="en-GB"/>
              </w:rPr>
              <w:tab/>
              <w:t xml:space="preserve">Publications </w:t>
            </w:r>
            <w:r w:rsidRPr="00B10D24">
              <w:rPr>
                <w:sz w:val="17"/>
                <w:lang w:val="en-GB"/>
              </w:rPr>
              <w:t>(number of publications)</w:t>
            </w:r>
          </w:p>
        </w:tc>
        <w:tc>
          <w:tcPr>
            <w:tcW w:w="822" w:type="dxa"/>
            <w:shd w:val="clear" w:color="auto" w:fill="auto"/>
            <w:vAlign w:val="bottom"/>
          </w:tcPr>
          <w:p w14:paraId="4DD5E0E4"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2</w:t>
            </w:r>
          </w:p>
        </w:tc>
        <w:tc>
          <w:tcPr>
            <w:tcW w:w="822" w:type="dxa"/>
            <w:shd w:val="clear" w:color="auto" w:fill="auto"/>
            <w:vAlign w:val="bottom"/>
          </w:tcPr>
          <w:p w14:paraId="21215DA0"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2</w:t>
            </w:r>
          </w:p>
        </w:tc>
        <w:tc>
          <w:tcPr>
            <w:tcW w:w="822" w:type="dxa"/>
            <w:shd w:val="clear" w:color="auto" w:fill="auto"/>
            <w:vAlign w:val="bottom"/>
          </w:tcPr>
          <w:p w14:paraId="181191F4"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4</w:t>
            </w:r>
          </w:p>
        </w:tc>
        <w:tc>
          <w:tcPr>
            <w:tcW w:w="823" w:type="dxa"/>
            <w:shd w:val="clear" w:color="auto" w:fill="auto"/>
            <w:vAlign w:val="bottom"/>
          </w:tcPr>
          <w:p w14:paraId="7518F469"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3</w:t>
            </w:r>
          </w:p>
        </w:tc>
      </w:tr>
      <w:tr w:rsidR="0016696A" w:rsidRPr="00B10D24" w14:paraId="7BE2754B" w14:textId="77777777" w:rsidTr="00206464">
        <w:tc>
          <w:tcPr>
            <w:tcW w:w="6561" w:type="dxa"/>
            <w:shd w:val="clear" w:color="auto" w:fill="auto"/>
            <w:vAlign w:val="bottom"/>
          </w:tcPr>
          <w:p w14:paraId="1FE936C5" w14:textId="5D3608E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lang w:val="en-GB"/>
              </w:rPr>
            </w:pPr>
            <w:r w:rsidRPr="00B10D24">
              <w:rPr>
                <w:sz w:val="17"/>
                <w:lang w:val="en-GB"/>
              </w:rPr>
              <w:tab/>
              <w:t>7.</w:t>
            </w:r>
            <w:r w:rsidRPr="00B10D24">
              <w:rPr>
                <w:sz w:val="17"/>
                <w:lang w:val="en-GB"/>
              </w:rPr>
              <w:tab/>
              <w:t>National cities report</w:t>
            </w:r>
          </w:p>
        </w:tc>
        <w:tc>
          <w:tcPr>
            <w:tcW w:w="822" w:type="dxa"/>
            <w:shd w:val="clear" w:color="auto" w:fill="auto"/>
            <w:vAlign w:val="bottom"/>
          </w:tcPr>
          <w:p w14:paraId="50E6E9D9"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c>
          <w:tcPr>
            <w:tcW w:w="822" w:type="dxa"/>
            <w:shd w:val="clear" w:color="auto" w:fill="auto"/>
            <w:vAlign w:val="bottom"/>
          </w:tcPr>
          <w:p w14:paraId="45A61235"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c>
          <w:tcPr>
            <w:tcW w:w="822" w:type="dxa"/>
            <w:shd w:val="clear" w:color="auto" w:fill="auto"/>
            <w:vAlign w:val="bottom"/>
          </w:tcPr>
          <w:p w14:paraId="0F155612"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2</w:t>
            </w:r>
          </w:p>
        </w:tc>
        <w:tc>
          <w:tcPr>
            <w:tcW w:w="823" w:type="dxa"/>
            <w:shd w:val="clear" w:color="auto" w:fill="auto"/>
            <w:vAlign w:val="bottom"/>
          </w:tcPr>
          <w:p w14:paraId="4093A9B6"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2</w:t>
            </w:r>
          </w:p>
        </w:tc>
      </w:tr>
      <w:tr w:rsidR="0016696A" w:rsidRPr="00B10D24" w14:paraId="2AF20B69" w14:textId="77777777" w:rsidTr="00206464">
        <w:tc>
          <w:tcPr>
            <w:tcW w:w="6561" w:type="dxa"/>
            <w:shd w:val="clear" w:color="auto" w:fill="auto"/>
            <w:vAlign w:val="bottom"/>
          </w:tcPr>
          <w:p w14:paraId="39BAB7B5"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lang w:val="en-GB"/>
              </w:rPr>
            </w:pPr>
            <w:r w:rsidRPr="00B10D24">
              <w:rPr>
                <w:b/>
                <w:bCs/>
                <w:sz w:val="17"/>
                <w:lang w:val="en-GB"/>
              </w:rPr>
              <w:tab/>
              <w:t xml:space="preserve">Technical materials </w:t>
            </w:r>
            <w:r w:rsidRPr="00B10D24">
              <w:rPr>
                <w:sz w:val="17"/>
                <w:lang w:val="en-GB"/>
              </w:rPr>
              <w:t>(number of materials)</w:t>
            </w:r>
          </w:p>
        </w:tc>
        <w:tc>
          <w:tcPr>
            <w:tcW w:w="822" w:type="dxa"/>
            <w:shd w:val="clear" w:color="auto" w:fill="auto"/>
            <w:vAlign w:val="bottom"/>
          </w:tcPr>
          <w:p w14:paraId="4B265F2A"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21</w:t>
            </w:r>
          </w:p>
        </w:tc>
        <w:tc>
          <w:tcPr>
            <w:tcW w:w="822" w:type="dxa"/>
            <w:shd w:val="clear" w:color="auto" w:fill="auto"/>
            <w:vAlign w:val="bottom"/>
          </w:tcPr>
          <w:p w14:paraId="1A1DA1E1"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22</w:t>
            </w:r>
          </w:p>
        </w:tc>
        <w:tc>
          <w:tcPr>
            <w:tcW w:w="822" w:type="dxa"/>
            <w:shd w:val="clear" w:color="auto" w:fill="auto"/>
            <w:vAlign w:val="bottom"/>
          </w:tcPr>
          <w:p w14:paraId="7DD8037C"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30</w:t>
            </w:r>
          </w:p>
        </w:tc>
        <w:tc>
          <w:tcPr>
            <w:tcW w:w="823" w:type="dxa"/>
            <w:shd w:val="clear" w:color="auto" w:fill="auto"/>
            <w:vAlign w:val="bottom"/>
          </w:tcPr>
          <w:p w14:paraId="630AA893"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szCs w:val="17"/>
                <w:lang w:val="en-GB"/>
              </w:rPr>
              <w:t>11</w:t>
            </w:r>
          </w:p>
        </w:tc>
      </w:tr>
      <w:tr w:rsidR="0016696A" w:rsidRPr="00B10D24" w14:paraId="3D2175BC" w14:textId="77777777" w:rsidTr="00206464">
        <w:tc>
          <w:tcPr>
            <w:tcW w:w="6561" w:type="dxa"/>
            <w:shd w:val="clear" w:color="auto" w:fill="auto"/>
            <w:vAlign w:val="bottom"/>
          </w:tcPr>
          <w:p w14:paraId="22AC863A"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lang w:val="en-GB"/>
              </w:rPr>
            </w:pPr>
            <w:r w:rsidRPr="00B10D24">
              <w:rPr>
                <w:sz w:val="17"/>
                <w:lang w:val="en-GB"/>
              </w:rPr>
              <w:tab/>
              <w:t>8.</w:t>
            </w:r>
            <w:r w:rsidRPr="00B10D24">
              <w:rPr>
                <w:sz w:val="17"/>
                <w:lang w:val="en-GB"/>
              </w:rPr>
              <w:tab/>
              <w:t>Technical materials on spatial connectivity, urban planning and design, metropolitan planning, urban and rural linkages, action planning, urban and territorial planning and national urban policies</w:t>
            </w:r>
          </w:p>
        </w:tc>
        <w:tc>
          <w:tcPr>
            <w:tcW w:w="822" w:type="dxa"/>
            <w:shd w:val="clear" w:color="auto" w:fill="auto"/>
            <w:vAlign w:val="bottom"/>
          </w:tcPr>
          <w:p w14:paraId="4FA612B2"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7</w:t>
            </w:r>
          </w:p>
        </w:tc>
        <w:tc>
          <w:tcPr>
            <w:tcW w:w="822" w:type="dxa"/>
            <w:shd w:val="clear" w:color="auto" w:fill="auto"/>
            <w:vAlign w:val="bottom"/>
          </w:tcPr>
          <w:p w14:paraId="31281646"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9</w:t>
            </w:r>
          </w:p>
        </w:tc>
        <w:tc>
          <w:tcPr>
            <w:tcW w:w="822" w:type="dxa"/>
            <w:shd w:val="clear" w:color="auto" w:fill="auto"/>
            <w:vAlign w:val="bottom"/>
          </w:tcPr>
          <w:p w14:paraId="69EB4C93"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10</w:t>
            </w:r>
          </w:p>
        </w:tc>
        <w:tc>
          <w:tcPr>
            <w:tcW w:w="823" w:type="dxa"/>
            <w:shd w:val="clear" w:color="auto" w:fill="auto"/>
            <w:vAlign w:val="bottom"/>
          </w:tcPr>
          <w:p w14:paraId="02E598BE"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5</w:t>
            </w:r>
          </w:p>
        </w:tc>
      </w:tr>
      <w:tr w:rsidR="0016696A" w:rsidRPr="00B10D24" w14:paraId="03C4C2A2" w14:textId="77777777" w:rsidTr="00206464">
        <w:tc>
          <w:tcPr>
            <w:tcW w:w="6561" w:type="dxa"/>
            <w:shd w:val="clear" w:color="auto" w:fill="auto"/>
            <w:vAlign w:val="bottom"/>
          </w:tcPr>
          <w:p w14:paraId="47AE766E"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lang w:val="en-GB"/>
              </w:rPr>
            </w:pPr>
            <w:r w:rsidRPr="00B10D24">
              <w:rPr>
                <w:sz w:val="17"/>
                <w:lang w:val="en-GB"/>
              </w:rPr>
              <w:tab/>
              <w:t>9.</w:t>
            </w:r>
            <w:r w:rsidRPr="00B10D24">
              <w:rPr>
                <w:sz w:val="17"/>
                <w:lang w:val="en-GB"/>
              </w:rPr>
              <w:tab/>
              <w:t>Technical materials on spatial productivity, local economic development, urban and municipal finance, financing urban basic services and infrastructure</w:t>
            </w:r>
          </w:p>
        </w:tc>
        <w:tc>
          <w:tcPr>
            <w:tcW w:w="822" w:type="dxa"/>
            <w:shd w:val="clear" w:color="auto" w:fill="auto"/>
            <w:vAlign w:val="bottom"/>
          </w:tcPr>
          <w:p w14:paraId="0B022F3C"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7</w:t>
            </w:r>
          </w:p>
        </w:tc>
        <w:tc>
          <w:tcPr>
            <w:tcW w:w="822" w:type="dxa"/>
            <w:shd w:val="clear" w:color="auto" w:fill="auto"/>
            <w:vAlign w:val="bottom"/>
          </w:tcPr>
          <w:p w14:paraId="6DDAB908"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7</w:t>
            </w:r>
          </w:p>
        </w:tc>
        <w:tc>
          <w:tcPr>
            <w:tcW w:w="822" w:type="dxa"/>
            <w:shd w:val="clear" w:color="auto" w:fill="auto"/>
            <w:vAlign w:val="bottom"/>
          </w:tcPr>
          <w:p w14:paraId="7AF9567F"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10</w:t>
            </w:r>
          </w:p>
        </w:tc>
        <w:tc>
          <w:tcPr>
            <w:tcW w:w="823" w:type="dxa"/>
            <w:shd w:val="clear" w:color="auto" w:fill="auto"/>
            <w:vAlign w:val="bottom"/>
          </w:tcPr>
          <w:p w14:paraId="4A784A3C"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3</w:t>
            </w:r>
          </w:p>
        </w:tc>
      </w:tr>
      <w:tr w:rsidR="0016696A" w:rsidRPr="00B10D24" w14:paraId="6846ABB2" w14:textId="77777777" w:rsidTr="00206464">
        <w:tc>
          <w:tcPr>
            <w:tcW w:w="6561" w:type="dxa"/>
            <w:shd w:val="clear" w:color="auto" w:fill="auto"/>
            <w:vAlign w:val="bottom"/>
          </w:tcPr>
          <w:p w14:paraId="2E6B645E"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0" w:hanging="576"/>
              <w:jc w:val="left"/>
              <w:rPr>
                <w:sz w:val="17"/>
                <w:lang w:val="en-GB"/>
              </w:rPr>
            </w:pPr>
            <w:r w:rsidRPr="00B10D24">
              <w:rPr>
                <w:sz w:val="17"/>
                <w:lang w:val="en-GB"/>
              </w:rPr>
              <w:tab/>
              <w:t>10.</w:t>
            </w:r>
            <w:r w:rsidRPr="00B10D24">
              <w:rPr>
                <w:sz w:val="17"/>
                <w:lang w:val="en-GB"/>
              </w:rPr>
              <w:tab/>
              <w:t>Technical materials on frontier technologies and innovation, best practices, legal and governance frameworks and prosperity indices for sustainable urban development and implementation of the New Urban Agenda and the Sustainable Development Goals</w:t>
            </w:r>
          </w:p>
        </w:tc>
        <w:tc>
          <w:tcPr>
            <w:tcW w:w="822" w:type="dxa"/>
            <w:shd w:val="clear" w:color="auto" w:fill="auto"/>
            <w:vAlign w:val="bottom"/>
          </w:tcPr>
          <w:p w14:paraId="68F647BB"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7</w:t>
            </w:r>
          </w:p>
        </w:tc>
        <w:tc>
          <w:tcPr>
            <w:tcW w:w="822" w:type="dxa"/>
            <w:shd w:val="clear" w:color="auto" w:fill="auto"/>
            <w:vAlign w:val="bottom"/>
          </w:tcPr>
          <w:p w14:paraId="4B2ACC1E"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6</w:t>
            </w:r>
          </w:p>
        </w:tc>
        <w:tc>
          <w:tcPr>
            <w:tcW w:w="822" w:type="dxa"/>
            <w:shd w:val="clear" w:color="auto" w:fill="auto"/>
            <w:vAlign w:val="bottom"/>
          </w:tcPr>
          <w:p w14:paraId="43E5660D"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10</w:t>
            </w:r>
          </w:p>
        </w:tc>
        <w:tc>
          <w:tcPr>
            <w:tcW w:w="823" w:type="dxa"/>
            <w:shd w:val="clear" w:color="auto" w:fill="auto"/>
            <w:vAlign w:val="bottom"/>
          </w:tcPr>
          <w:p w14:paraId="5288E1AE"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3</w:t>
            </w:r>
          </w:p>
        </w:tc>
      </w:tr>
      <w:tr w:rsidR="0016696A" w:rsidRPr="00B10D24" w14:paraId="7F007101" w14:textId="77777777" w:rsidTr="00206464">
        <w:tc>
          <w:tcPr>
            <w:tcW w:w="6561" w:type="dxa"/>
            <w:shd w:val="clear" w:color="auto" w:fill="auto"/>
            <w:vAlign w:val="bottom"/>
          </w:tcPr>
          <w:p w14:paraId="7A35C38C"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lang w:val="en-GB"/>
              </w:rPr>
            </w:pPr>
            <w:r w:rsidRPr="00B10D24">
              <w:rPr>
                <w:b/>
                <w:bCs/>
                <w:sz w:val="17"/>
                <w:lang w:val="en-GB"/>
              </w:rPr>
              <w:lastRenderedPageBreak/>
              <w:t>C.</w:t>
            </w:r>
            <w:r w:rsidRPr="00B10D24">
              <w:rPr>
                <w:b/>
                <w:bCs/>
                <w:sz w:val="17"/>
                <w:lang w:val="en-GB"/>
              </w:rPr>
              <w:tab/>
              <w:t>Substantive deliverables</w:t>
            </w:r>
          </w:p>
        </w:tc>
        <w:tc>
          <w:tcPr>
            <w:tcW w:w="822" w:type="dxa"/>
            <w:shd w:val="clear" w:color="auto" w:fill="auto"/>
            <w:vAlign w:val="bottom"/>
          </w:tcPr>
          <w:p w14:paraId="7B9BC3AC"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822" w:type="dxa"/>
            <w:shd w:val="clear" w:color="auto" w:fill="auto"/>
            <w:vAlign w:val="bottom"/>
          </w:tcPr>
          <w:p w14:paraId="21AE9A64"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822" w:type="dxa"/>
            <w:shd w:val="clear" w:color="auto" w:fill="auto"/>
            <w:vAlign w:val="bottom"/>
          </w:tcPr>
          <w:p w14:paraId="4265C060"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c>
          <w:tcPr>
            <w:tcW w:w="823" w:type="dxa"/>
            <w:shd w:val="clear" w:color="auto" w:fill="auto"/>
            <w:vAlign w:val="bottom"/>
          </w:tcPr>
          <w:p w14:paraId="5491F8BE"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lang w:val="en-GB"/>
              </w:rPr>
            </w:pPr>
          </w:p>
        </w:tc>
      </w:tr>
      <w:tr w:rsidR="0016696A" w:rsidRPr="00B10D24" w14:paraId="3A7E886E" w14:textId="77777777" w:rsidTr="00206464">
        <w:tc>
          <w:tcPr>
            <w:tcW w:w="9850" w:type="dxa"/>
            <w:gridSpan w:val="5"/>
            <w:shd w:val="clear" w:color="auto" w:fill="auto"/>
            <w:vAlign w:val="bottom"/>
          </w:tcPr>
          <w:p w14:paraId="4EFC275A" w14:textId="0EC8C35B"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sz w:val="17"/>
                <w:lang w:val="en-GB"/>
              </w:rPr>
            </w:pPr>
            <w:r w:rsidRPr="00B10D24">
              <w:rPr>
                <w:b/>
                <w:bCs/>
                <w:sz w:val="17"/>
                <w:lang w:val="en-GB"/>
              </w:rPr>
              <w:tab/>
              <w:t>Consultation, advice and advocacy</w:t>
            </w:r>
            <w:r w:rsidRPr="00B10D24">
              <w:rPr>
                <w:sz w:val="17"/>
                <w:lang w:val="en-GB"/>
              </w:rPr>
              <w:t>: advisory services and technical assistance to 20 Member States on national urban policy, territorial development, urban-rural linkages, metropolitan development, preparation of local economic development plans and strategies and on improving local revenue generation; use of frontier technologies, innovations and development of solutions; urban law reform, compliance and community contracting, urban prosperity, including the use of the Urban Monitoring Framework, and monitoring of the Sustainable Development Goals.</w:t>
            </w:r>
          </w:p>
        </w:tc>
      </w:tr>
      <w:tr w:rsidR="0016696A" w:rsidRPr="00B10D24" w14:paraId="1C4F7462" w14:textId="77777777" w:rsidTr="00206464">
        <w:tc>
          <w:tcPr>
            <w:tcW w:w="9850" w:type="dxa"/>
            <w:gridSpan w:val="5"/>
            <w:shd w:val="clear" w:color="auto" w:fill="auto"/>
            <w:vAlign w:val="bottom"/>
          </w:tcPr>
          <w:p w14:paraId="2344AA8C"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sz w:val="17"/>
                <w:lang w:val="en-GB"/>
              </w:rPr>
            </w:pPr>
            <w:r w:rsidRPr="00B10D24">
              <w:rPr>
                <w:b/>
                <w:bCs/>
                <w:sz w:val="17"/>
                <w:lang w:val="en-GB"/>
              </w:rPr>
              <w:tab/>
              <w:t>Databases and substantive digital materials</w:t>
            </w:r>
            <w:r w:rsidRPr="00B10D24">
              <w:rPr>
                <w:sz w:val="17"/>
                <w:lang w:val="en-GB"/>
              </w:rPr>
              <w:t>: national urban policy database, compendium of urban-rural linkages case studies and global municipal database</w:t>
            </w:r>
            <w:r>
              <w:rPr>
                <w:sz w:val="17"/>
                <w:lang w:val="en-GB"/>
              </w:rPr>
              <w:t>.</w:t>
            </w:r>
          </w:p>
        </w:tc>
      </w:tr>
      <w:tr w:rsidR="0016696A" w:rsidRPr="00B10D24" w14:paraId="7727947D" w14:textId="77777777" w:rsidTr="00206464">
        <w:tc>
          <w:tcPr>
            <w:tcW w:w="9850" w:type="dxa"/>
            <w:gridSpan w:val="5"/>
            <w:shd w:val="clear" w:color="auto" w:fill="auto"/>
            <w:vAlign w:val="bottom"/>
          </w:tcPr>
          <w:p w14:paraId="2F309DEF" w14:textId="77777777" w:rsidR="0016696A" w:rsidRPr="00B10D24" w:rsidRDefault="0016696A"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lang w:val="en-GB"/>
              </w:rPr>
            </w:pPr>
            <w:r w:rsidRPr="00B10D24">
              <w:rPr>
                <w:b/>
                <w:bCs/>
                <w:sz w:val="17"/>
                <w:lang w:val="en-GB"/>
              </w:rPr>
              <w:t>D.</w:t>
            </w:r>
            <w:r w:rsidRPr="00B10D24">
              <w:rPr>
                <w:b/>
                <w:bCs/>
                <w:sz w:val="17"/>
                <w:lang w:val="en-GB"/>
              </w:rPr>
              <w:tab/>
              <w:t>Communication deliverables</w:t>
            </w:r>
          </w:p>
        </w:tc>
      </w:tr>
      <w:tr w:rsidR="0016696A" w:rsidRPr="00B10D24" w14:paraId="5F0F0CFC" w14:textId="77777777" w:rsidTr="00206464">
        <w:tc>
          <w:tcPr>
            <w:tcW w:w="9850" w:type="dxa"/>
            <w:gridSpan w:val="5"/>
            <w:tcBorders>
              <w:bottom w:val="single" w:sz="12" w:space="0" w:color="auto"/>
            </w:tcBorders>
            <w:shd w:val="clear" w:color="auto" w:fill="auto"/>
            <w:vAlign w:val="bottom"/>
          </w:tcPr>
          <w:p w14:paraId="4478883B" w14:textId="6F6AA879" w:rsidR="0016696A" w:rsidRPr="00B10D24" w:rsidRDefault="0016696A" w:rsidP="00134A9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0" w:hanging="288"/>
              <w:jc w:val="left"/>
              <w:rPr>
                <w:b/>
                <w:bCs/>
                <w:sz w:val="17"/>
                <w:lang w:val="en-GB"/>
              </w:rPr>
            </w:pPr>
            <w:r w:rsidRPr="00B10D24">
              <w:rPr>
                <w:b/>
                <w:bCs/>
                <w:sz w:val="17"/>
                <w:lang w:val="en-GB"/>
              </w:rPr>
              <w:tab/>
              <w:t>Outreach programmes, special events and information materials</w:t>
            </w:r>
            <w:r w:rsidRPr="00B10D24">
              <w:rPr>
                <w:sz w:val="17"/>
                <w:lang w:val="en-GB"/>
              </w:rPr>
              <w:t>:</w:t>
            </w:r>
            <w:r w:rsidRPr="00B10D24">
              <w:rPr>
                <w:b/>
                <w:bCs/>
                <w:sz w:val="17"/>
                <w:lang w:val="en-GB"/>
              </w:rPr>
              <w:t xml:space="preserve"> </w:t>
            </w:r>
            <w:hyperlink r:id="rId59" w:history="1">
              <w:r w:rsidRPr="00B10D24">
                <w:rPr>
                  <w:rStyle w:val="Hyperlink"/>
                  <w:sz w:val="17"/>
                  <w:lang w:val="en-GB"/>
                </w:rPr>
                <w:t>www.urbanpolicyplatform.org</w:t>
              </w:r>
            </w:hyperlink>
            <w:r w:rsidRPr="00B10D24">
              <w:rPr>
                <w:sz w:val="17"/>
                <w:lang w:val="en-GB"/>
              </w:rPr>
              <w:t xml:space="preserve">; content for social media coverage, brochures, leaflets and profiles on national urban policy, urban-rural linkages, metropolitan development, territorial development, urban monitoring and reporting, basic services, mobility and public space; </w:t>
            </w:r>
            <w:r w:rsidR="00134A90">
              <w:rPr>
                <w:sz w:val="17"/>
                <w:lang w:val="en-GB"/>
              </w:rPr>
              <w:t>f</w:t>
            </w:r>
            <w:r w:rsidR="00134A90" w:rsidRPr="00134A90">
              <w:rPr>
                <w:sz w:val="17"/>
                <w:lang w:val="en-GB"/>
              </w:rPr>
              <w:t>ourth</w:t>
            </w:r>
            <w:r w:rsidRPr="00B10D24">
              <w:rPr>
                <w:sz w:val="17"/>
                <w:lang w:val="en-GB"/>
              </w:rPr>
              <w:t xml:space="preserve"> International Conference on National Urban Policy, </w:t>
            </w:r>
            <w:r w:rsidR="00134A90">
              <w:rPr>
                <w:sz w:val="17"/>
                <w:lang w:val="en-GB"/>
              </w:rPr>
              <w:t>s</w:t>
            </w:r>
            <w:r w:rsidR="00134A90" w:rsidRPr="00134A90">
              <w:rPr>
                <w:sz w:val="17"/>
                <w:lang w:val="en-GB"/>
              </w:rPr>
              <w:t>econd</w:t>
            </w:r>
            <w:r w:rsidRPr="00B10D24">
              <w:rPr>
                <w:sz w:val="17"/>
                <w:lang w:val="en-GB"/>
              </w:rPr>
              <w:t xml:space="preserve"> International Forum on Urban-Rural Linkages; private-sector focused engagement frameworks reaching an audience of 2,000.</w:t>
            </w:r>
          </w:p>
        </w:tc>
      </w:tr>
    </w:tbl>
    <w:p w14:paraId="5F71F94F"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2763CC4" w14:textId="77777777" w:rsidR="0016696A" w:rsidRPr="00B10D24" w:rsidRDefault="0016696A" w:rsidP="0016696A">
      <w:pPr>
        <w:pStyle w:val="FootnoteText"/>
        <w:tabs>
          <w:tab w:val="clear" w:pos="418"/>
          <w:tab w:val="right" w:pos="216"/>
          <w:tab w:val="left" w:pos="288"/>
          <w:tab w:val="right" w:pos="576"/>
          <w:tab w:val="left" w:pos="648"/>
        </w:tabs>
        <w:ind w:left="288" w:hanging="288"/>
      </w:pPr>
      <w:r w:rsidRPr="00B10D24">
        <w:tab/>
      </w:r>
      <w:r w:rsidRPr="00B10D24">
        <w:rPr>
          <w:i/>
          <w:iCs/>
          <w:vertAlign w:val="superscript"/>
        </w:rPr>
        <w:t>a</w:t>
      </w:r>
      <w:r w:rsidRPr="00B10D24">
        <w:tab/>
      </w:r>
      <w:r w:rsidRPr="00B10D24">
        <w:tab/>
        <w:t xml:space="preserve">The 2022 planned deliverables, to be funded from the Foundation non-earmarked fund, have been adjusted downward, taking into account the resources approved by the Executive Board of $10.0 million for 2021 and a budget ceiling figure of $12.0 million in 2022, as shown in table 15.14. </w:t>
      </w:r>
    </w:p>
    <w:p w14:paraId="7D0608B6"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B89225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6F6E63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8EB26B2" w14:textId="77777777" w:rsidR="0016696A" w:rsidRPr="00B10D24" w:rsidRDefault="0016696A" w:rsidP="0016696A">
      <w:pPr>
        <w:pStyle w:val="H1"/>
        <w:ind w:right="1260"/>
      </w:pPr>
      <w:r w:rsidRPr="00B10D24">
        <w:tab/>
      </w:r>
      <w:r w:rsidRPr="00B10D24">
        <w:tab/>
        <w:t xml:space="preserve">Subprogramme 3 </w:t>
      </w:r>
    </w:p>
    <w:p w14:paraId="00385C86" w14:textId="77777777" w:rsidR="0016696A" w:rsidRPr="00B10D24" w:rsidRDefault="0016696A" w:rsidP="0016696A">
      <w:pPr>
        <w:pStyle w:val="H1"/>
        <w:ind w:right="1260"/>
      </w:pPr>
      <w:r w:rsidRPr="00B10D24">
        <w:tab/>
      </w:r>
      <w:r w:rsidRPr="00B10D24">
        <w:tab/>
        <w:t xml:space="preserve">Strengthened climate action and improved urban environment </w:t>
      </w:r>
    </w:p>
    <w:p w14:paraId="0D423CB3"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11F6576"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C843E31" w14:textId="77777777" w:rsidR="0016696A" w:rsidRPr="00B10D24" w:rsidRDefault="0016696A" w:rsidP="0016696A">
      <w:pPr>
        <w:pStyle w:val="H1"/>
        <w:ind w:right="1260"/>
      </w:pPr>
      <w:r w:rsidRPr="00B10D24">
        <w:tab/>
      </w:r>
      <w:r w:rsidRPr="00B10D24">
        <w:tab/>
        <w:t>Objective</w:t>
      </w:r>
    </w:p>
    <w:p w14:paraId="2852C2A8"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A026D6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A2B5E50"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15.79</w:t>
      </w:r>
      <w:r w:rsidRPr="00B10D24">
        <w:tab/>
        <w:t>The objective, to which this subprogramme contributes, is strengthened climate action and improved urban environments through reducing greenhouse gas emissions and improving air quality, improving resource efficiency and protecting ecological assets, and the effective adaptation of communities and infrastructure to climate change.</w:t>
      </w:r>
    </w:p>
    <w:p w14:paraId="0CCDD365"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F33833C"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63E81D2" w14:textId="77777777" w:rsidR="0016696A" w:rsidRPr="00B10D24" w:rsidRDefault="0016696A" w:rsidP="0016696A">
      <w:pPr>
        <w:pStyle w:val="H1"/>
        <w:ind w:right="1260"/>
      </w:pPr>
      <w:r w:rsidRPr="00B10D24">
        <w:tab/>
      </w:r>
      <w:r w:rsidRPr="00B10D24">
        <w:tab/>
        <w:t>Strategy</w:t>
      </w:r>
    </w:p>
    <w:p w14:paraId="270713C8" w14:textId="77777777" w:rsidR="0016696A" w:rsidRPr="00B10D24" w:rsidRDefault="0016696A" w:rsidP="0016696A">
      <w:pPr>
        <w:pStyle w:val="SingleTxt"/>
        <w:spacing w:after="0" w:line="120" w:lineRule="exact"/>
        <w:rPr>
          <w:sz w:val="10"/>
        </w:rPr>
      </w:pPr>
    </w:p>
    <w:p w14:paraId="558EA5DD" w14:textId="77777777" w:rsidR="0016696A" w:rsidRPr="00B10D24" w:rsidRDefault="0016696A" w:rsidP="0016696A">
      <w:pPr>
        <w:pStyle w:val="SingleTxt"/>
        <w:spacing w:after="0" w:line="120" w:lineRule="exact"/>
        <w:rPr>
          <w:sz w:val="10"/>
        </w:rPr>
      </w:pPr>
    </w:p>
    <w:p w14:paraId="5C7DF0B1"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15.80</w:t>
      </w:r>
      <w:r w:rsidRPr="00B10D24">
        <w:tab/>
        <w:t>To contribute to the objective, the subprogramme will provide technical support for the development of low-emission city development that addresses emerging climate risks, adaptation investments, and basic service provision and the integration of low-emission development and air quality strategies into urban mobility, public space and urban development strategies. The subprogramme will provide assistance to selected Member States through knowledge transfer, capacity-building, policy advice and peer-to-peer engagement in regional initiatives on sustainable approaches to urban climate action. The subprogramme plans to broaden its engagement with Member States to scale up the urban dimension of nationally determined contributions and national adaptation plans, while strengthening the evidence base. This work helps Member States make progress towards achieving Sustainable Development Goals 1, 11 and 13.</w:t>
      </w:r>
    </w:p>
    <w:p w14:paraId="6687953C"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15.81</w:t>
      </w:r>
      <w:r w:rsidRPr="00B10D24">
        <w:tab/>
        <w:t>The subprogramme will promote nature-based solutions to climate action for urban and peri-urban environmental protection, restoration and green public spaces. The subprogramme will also strengthen resource efficiency by promoting integrated solid waste management and by addressing marine plastic litter reduction. The subprogramme will also promote the development of energy- and resource-efficient standards for buildings and the integration of energy and resource efficiency principles into country-specific building and planning codes. This work helps Member States make progress towards achieving Sustainable Development Goals 6, 7, 8, 11, 12, 13, 14 and 15.</w:t>
      </w:r>
    </w:p>
    <w:p w14:paraId="7A74FDF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15.82</w:t>
      </w:r>
      <w:r w:rsidRPr="00B10D24">
        <w:tab/>
        <w:t xml:space="preserve">The subprogramme will also provide assistance with regard to the formulation of policy and legislation, urban planning and design, multilevel governance and financing instruments through its </w:t>
      </w:r>
      <w:r w:rsidRPr="00B10D24">
        <w:lastRenderedPageBreak/>
        <w:t>flagship programme entitled “RISE-UP: resilient settlements for the urban poor”, which focuses on mobilizing investments to address climate resilience issues affecting the poor and marginalized communities in cities. It will further support the implementation of global adaptation initiatives aimed at improving the enabling environment for adaptation investments in urban infrastructure and communities, such as the National Adaptation Plan Global Support Programme, the Nationally Determined Contributions Partnership, which is at the core of the Paris Agreement on climate agreement and in which countries specify their emissions reduction and adaptation targets for the period up to 2030, and the Least Developed Countries Expert Group. This work helps Member States make progress towards achieving Sustainable Development Goals 9, 11 and 13.</w:t>
      </w:r>
    </w:p>
    <w:p w14:paraId="753F6DB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15.83</w:t>
      </w:r>
      <w:r w:rsidRPr="00B10D24">
        <w:tab/>
        <w:t xml:space="preserve">The subprogramme plans to support Member States on issues related to COVID-19 by highlighting technologies, processes and investment opportunities, as part of its normative work, which will support green COVID-19 recovery opportunities and an integrated approach to climate and health resilience. The subprogramme will also integrate such guidance in its technical advisory services. </w:t>
      </w:r>
    </w:p>
    <w:p w14:paraId="1D607A2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15.84</w:t>
      </w:r>
      <w:r w:rsidRPr="00B10D24">
        <w:tab/>
        <w:t xml:space="preserve">The above-mentioned work is expected to result in: </w:t>
      </w:r>
    </w:p>
    <w:p w14:paraId="193B8D21"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B10D24">
        <w:tab/>
      </w:r>
      <w:r w:rsidRPr="00B10D24">
        <w:tab/>
        <w:t>(a)</w:t>
      </w:r>
      <w:r w:rsidRPr="00B10D24">
        <w:tab/>
        <w:t xml:space="preserve">Strengthened capacities of partner cities and Member States to plan for, invest in and monitor city-level climate action; </w:t>
      </w:r>
    </w:p>
    <w:p w14:paraId="1CA1E5BC"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B10D24">
        <w:tab/>
      </w:r>
      <w:r w:rsidRPr="00B10D24">
        <w:tab/>
        <w:t>(b)</w:t>
      </w:r>
      <w:r w:rsidRPr="00B10D24">
        <w:tab/>
        <w:t xml:space="preserve">Multidimensional climate action and urban environment planning by partner cities that preserves, regenerates and restores urban biodiversity and reduces air and water pollution; </w:t>
      </w:r>
    </w:p>
    <w:p w14:paraId="09F7205C"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B10D24">
        <w:tab/>
      </w:r>
      <w:r w:rsidRPr="00B10D24">
        <w:tab/>
        <w:t>(c)</w:t>
      </w:r>
      <w:r w:rsidRPr="00B10D24">
        <w:tab/>
        <w:t>The mobilization of investments for adaptation to climate change at the national and sub</w:t>
      </w:r>
      <w:r w:rsidRPr="00B10D24">
        <w:noBreakHyphen/>
        <w:t xml:space="preserve">national levels. </w:t>
      </w:r>
    </w:p>
    <w:p w14:paraId="68A132B3"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15.85</w:t>
      </w:r>
      <w:r w:rsidRPr="00B10D24">
        <w:tab/>
        <w:t>The planned support on issues related to COVID-19 is expected to result in:</w:t>
      </w:r>
    </w:p>
    <w:p w14:paraId="0B22EF99"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B10D24">
        <w:tab/>
      </w:r>
      <w:r w:rsidRPr="00B10D24">
        <w:tab/>
        <w:t>(a)</w:t>
      </w:r>
      <w:r w:rsidRPr="00B10D24">
        <w:tab/>
        <w:t>Increased capacities of partner cities and Member States to develop green COVID-19 recovery plans that can attract funding;</w:t>
      </w:r>
    </w:p>
    <w:p w14:paraId="564E69A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r>
      <w:r w:rsidRPr="00B10D24">
        <w:tab/>
        <w:t>(b)</w:t>
      </w:r>
      <w:r w:rsidRPr="00B10D24">
        <w:tab/>
        <w:t>More climate- and pandemic-resilient cities, human settlements and communities.</w:t>
      </w:r>
    </w:p>
    <w:p w14:paraId="1937A71A"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71240DA"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24EABB5" w14:textId="77777777" w:rsidR="0016696A" w:rsidRPr="00B10D24" w:rsidRDefault="0016696A" w:rsidP="0016696A">
      <w:pPr>
        <w:pStyle w:val="H1"/>
        <w:ind w:right="1260"/>
      </w:pPr>
      <w:r w:rsidRPr="00B10D24">
        <w:tab/>
      </w:r>
      <w:r w:rsidRPr="00B10D24">
        <w:tab/>
        <w:t>Programme performance in 2020</w:t>
      </w:r>
    </w:p>
    <w:p w14:paraId="7F1E27A6" w14:textId="77777777" w:rsidR="0016696A" w:rsidRPr="00B10D24" w:rsidRDefault="0016696A" w:rsidP="0016696A">
      <w:pPr>
        <w:pStyle w:val="SingleTxt"/>
        <w:spacing w:after="0" w:line="120" w:lineRule="exact"/>
        <w:rPr>
          <w:sz w:val="10"/>
        </w:rPr>
      </w:pPr>
    </w:p>
    <w:p w14:paraId="42E416E5" w14:textId="77777777" w:rsidR="0016696A" w:rsidRPr="00B10D24" w:rsidRDefault="0016696A" w:rsidP="0016696A">
      <w:pPr>
        <w:pStyle w:val="SingleTxt"/>
        <w:spacing w:after="0" w:line="120" w:lineRule="exact"/>
        <w:rPr>
          <w:sz w:val="10"/>
        </w:rPr>
      </w:pPr>
    </w:p>
    <w:p w14:paraId="434F3851"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15.86</w:t>
      </w:r>
      <w:r w:rsidRPr="00B10D24">
        <w:tab/>
        <w:t>Programme performance in 2020 includes the below result that emerged during 2020, as well as programme performance presented in results 1 and 2 below.</w:t>
      </w:r>
    </w:p>
    <w:p w14:paraId="51304F32"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55B0DDA"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Integrated climate and COVID-19 response plans</w:t>
      </w:r>
    </w:p>
    <w:p w14:paraId="512F321F" w14:textId="77777777" w:rsidR="0016696A" w:rsidRPr="00B10D24" w:rsidRDefault="0016696A" w:rsidP="0016696A">
      <w:pPr>
        <w:pStyle w:val="SingleTxt"/>
        <w:spacing w:after="0" w:line="120" w:lineRule="exact"/>
        <w:rPr>
          <w:sz w:val="10"/>
        </w:rPr>
      </w:pPr>
    </w:p>
    <w:p w14:paraId="1AA2A582"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15.87</w:t>
      </w:r>
      <w:r w:rsidRPr="00B10D24">
        <w:tab/>
        <w:t xml:space="preserve">Cities and local governments are at the forefront of the COVID-19 response, while for many local governments, climate change remains the most pressing long-term challenge. In line with the policy brief by the Secretary General on COVID-19 in an urban world, cities have started to develop integrated climate change and COVID-19 response plans. </w:t>
      </w:r>
    </w:p>
    <w:p w14:paraId="6CB42253"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15.88</w:t>
      </w:r>
      <w:r w:rsidRPr="00B10D24">
        <w:tab/>
        <w:t>The subprogramme supported five cities in the Philippines in updating their climate change action plans to align climate change mitigation measures with green recovery opportunities and climate resilience actions with a COVID-19 response that ensures that community members in vulnerable situations are supported. Furthermore, the subprogramme disseminated early results through an investment forum, to attract funding for the initiatives, and through a series of webinars attended by officials from nearly 100 local governments.</w:t>
      </w:r>
    </w:p>
    <w:p w14:paraId="5595A989"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995CF73" w14:textId="77777777" w:rsidR="0016696A" w:rsidRPr="00B10D24" w:rsidRDefault="0016696A" w:rsidP="0016696A">
      <w:pPr>
        <w:pStyle w:val="H4"/>
        <w:ind w:right="1260"/>
      </w:pPr>
      <w:r w:rsidRPr="00B10D24">
        <w:tab/>
      </w:r>
      <w:r w:rsidRPr="00B10D24">
        <w:tab/>
        <w:t>Progress towards the attainment of the objective, and performance measure</w:t>
      </w:r>
    </w:p>
    <w:p w14:paraId="33445116" w14:textId="77777777" w:rsidR="0016696A" w:rsidRPr="00B10D24" w:rsidRDefault="0016696A" w:rsidP="0016696A">
      <w:pPr>
        <w:pStyle w:val="SingleTxt"/>
        <w:spacing w:after="0" w:line="120" w:lineRule="exact"/>
        <w:rPr>
          <w:sz w:val="10"/>
        </w:rPr>
      </w:pPr>
    </w:p>
    <w:p w14:paraId="5EE7787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15.89</w:t>
      </w:r>
      <w:r w:rsidRPr="00B10D24">
        <w:tab/>
        <w:t xml:space="preserve">The above-mentioned work contributed to the objective, as demonstrated by the integration of the COVID-19 response into the plans and selected climate projects of five cities in the Philippines (see table 15.6). </w:t>
      </w:r>
    </w:p>
    <w:p w14:paraId="7104F492"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6277D99" w14:textId="77777777" w:rsidR="0016696A" w:rsidRPr="00B10D24" w:rsidRDefault="0016696A" w:rsidP="003F219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lastRenderedPageBreak/>
        <w:t>Table 15.6</w:t>
      </w:r>
    </w:p>
    <w:p w14:paraId="140A3A77" w14:textId="77777777" w:rsidR="0016696A" w:rsidRPr="00B10D24" w:rsidRDefault="0016696A" w:rsidP="003F219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Performance measure</w:t>
      </w:r>
    </w:p>
    <w:p w14:paraId="67719F93" w14:textId="77777777" w:rsidR="0016696A" w:rsidRPr="00B10D24" w:rsidRDefault="0016696A" w:rsidP="003F219A">
      <w:pPr>
        <w:pStyle w:val="SingleTxt"/>
        <w:keepNext/>
        <w:keepLines/>
        <w:spacing w:after="0" w:line="120" w:lineRule="exact"/>
        <w:rPr>
          <w:sz w:val="10"/>
        </w:rPr>
      </w:pPr>
    </w:p>
    <w:p w14:paraId="0D03BB06" w14:textId="77777777" w:rsidR="0016696A" w:rsidRPr="00B10D24" w:rsidRDefault="0016696A" w:rsidP="003F219A">
      <w:pPr>
        <w:pStyle w:val="SingleTxt"/>
        <w:keepNext/>
        <w:keepLines/>
        <w:spacing w:after="0" w:line="120" w:lineRule="exact"/>
        <w:rPr>
          <w:sz w:val="10"/>
        </w:rPr>
      </w:pPr>
    </w:p>
    <w:tbl>
      <w:tblPr>
        <w:tblW w:w="5000" w:type="pct"/>
        <w:tblCellMar>
          <w:left w:w="0" w:type="dxa"/>
          <w:right w:w="0" w:type="dxa"/>
        </w:tblCellMar>
        <w:tblLook w:val="04A0" w:firstRow="1" w:lastRow="0" w:firstColumn="1" w:lastColumn="0" w:noHBand="0" w:noVBand="1"/>
      </w:tblPr>
      <w:tblGrid>
        <w:gridCol w:w="3283"/>
        <w:gridCol w:w="3283"/>
        <w:gridCol w:w="3284"/>
      </w:tblGrid>
      <w:tr w:rsidR="0016696A" w:rsidRPr="00B10D24" w14:paraId="0D22177E" w14:textId="77777777" w:rsidTr="00206464">
        <w:trPr>
          <w:tblHeader/>
        </w:trPr>
        <w:tc>
          <w:tcPr>
            <w:tcW w:w="1666" w:type="pct"/>
            <w:tcBorders>
              <w:top w:val="single" w:sz="4" w:space="0" w:color="auto"/>
              <w:bottom w:val="single" w:sz="12" w:space="0" w:color="auto"/>
            </w:tcBorders>
            <w:shd w:val="clear" w:color="auto" w:fill="auto"/>
            <w:vAlign w:val="bottom"/>
            <w:hideMark/>
          </w:tcPr>
          <w:p w14:paraId="632A88E1" w14:textId="77777777" w:rsidR="0016696A" w:rsidRPr="00B10D24" w:rsidRDefault="0016696A" w:rsidP="003F219A">
            <w:pPr>
              <w:keepNext/>
              <w:keepLines/>
              <w:spacing w:before="81" w:after="81" w:line="160" w:lineRule="exact"/>
              <w:ind w:right="43"/>
              <w:jc w:val="both"/>
              <w:rPr>
                <w:i/>
                <w:sz w:val="14"/>
                <w:lang w:eastAsia="zh-CN"/>
              </w:rPr>
            </w:pPr>
            <w:r w:rsidRPr="00B10D24">
              <w:rPr>
                <w:i/>
                <w:sz w:val="14"/>
                <w:lang w:eastAsia="zh-CN"/>
              </w:rPr>
              <w:t>2018 (actual)</w:t>
            </w:r>
          </w:p>
        </w:tc>
        <w:tc>
          <w:tcPr>
            <w:tcW w:w="1666" w:type="pct"/>
            <w:tcBorders>
              <w:top w:val="single" w:sz="4" w:space="0" w:color="auto"/>
              <w:bottom w:val="single" w:sz="12" w:space="0" w:color="auto"/>
            </w:tcBorders>
            <w:shd w:val="clear" w:color="auto" w:fill="auto"/>
            <w:vAlign w:val="bottom"/>
            <w:hideMark/>
          </w:tcPr>
          <w:p w14:paraId="71D20650" w14:textId="77777777" w:rsidR="0016696A" w:rsidRPr="00B10D24" w:rsidRDefault="0016696A" w:rsidP="003F219A">
            <w:pPr>
              <w:keepNext/>
              <w:keepLines/>
              <w:spacing w:before="81" w:after="81" w:line="160" w:lineRule="exact"/>
              <w:ind w:left="144" w:right="43"/>
              <w:rPr>
                <w:i/>
                <w:sz w:val="14"/>
                <w:lang w:eastAsia="zh-CN"/>
              </w:rPr>
            </w:pPr>
            <w:r w:rsidRPr="00B10D24">
              <w:rPr>
                <w:i/>
                <w:sz w:val="14"/>
                <w:lang w:eastAsia="zh-CN"/>
              </w:rPr>
              <w:t>2019 (actual)</w:t>
            </w:r>
          </w:p>
        </w:tc>
        <w:tc>
          <w:tcPr>
            <w:tcW w:w="1667" w:type="pct"/>
            <w:tcBorders>
              <w:top w:val="single" w:sz="4" w:space="0" w:color="auto"/>
              <w:bottom w:val="single" w:sz="12" w:space="0" w:color="auto"/>
            </w:tcBorders>
            <w:shd w:val="clear" w:color="auto" w:fill="auto"/>
            <w:vAlign w:val="bottom"/>
            <w:hideMark/>
          </w:tcPr>
          <w:p w14:paraId="21491E74" w14:textId="77777777" w:rsidR="0016696A" w:rsidRPr="00B10D24" w:rsidRDefault="0016696A" w:rsidP="003F219A">
            <w:pPr>
              <w:keepNext/>
              <w:keepLines/>
              <w:spacing w:before="81" w:after="81" w:line="160" w:lineRule="exact"/>
              <w:ind w:left="144" w:right="43"/>
              <w:rPr>
                <w:i/>
                <w:sz w:val="14"/>
                <w:lang w:eastAsia="zh-CN"/>
              </w:rPr>
            </w:pPr>
            <w:r w:rsidRPr="00B10D24">
              <w:rPr>
                <w:i/>
                <w:sz w:val="14"/>
                <w:lang w:eastAsia="zh-CN"/>
              </w:rPr>
              <w:t>2020 (actual)</w:t>
            </w:r>
          </w:p>
        </w:tc>
      </w:tr>
      <w:tr w:rsidR="0016696A" w:rsidRPr="00B10D24" w14:paraId="39CB21D4" w14:textId="77777777" w:rsidTr="00206464">
        <w:trPr>
          <w:trHeight w:hRule="exact" w:val="115"/>
          <w:tblHeader/>
        </w:trPr>
        <w:tc>
          <w:tcPr>
            <w:tcW w:w="1666" w:type="pct"/>
            <w:tcBorders>
              <w:top w:val="single" w:sz="12" w:space="0" w:color="auto"/>
            </w:tcBorders>
            <w:shd w:val="clear" w:color="auto" w:fill="auto"/>
            <w:vAlign w:val="bottom"/>
          </w:tcPr>
          <w:p w14:paraId="6FEBFDF5" w14:textId="77777777" w:rsidR="0016696A" w:rsidRPr="00B10D24" w:rsidRDefault="0016696A" w:rsidP="003F219A">
            <w:pPr>
              <w:keepNext/>
              <w:keepLines/>
              <w:spacing w:before="40" w:after="120"/>
              <w:ind w:right="43"/>
              <w:jc w:val="both"/>
              <w:rPr>
                <w:lang w:eastAsia="zh-CN"/>
              </w:rPr>
            </w:pPr>
          </w:p>
        </w:tc>
        <w:tc>
          <w:tcPr>
            <w:tcW w:w="1666" w:type="pct"/>
            <w:tcBorders>
              <w:top w:val="single" w:sz="12" w:space="0" w:color="auto"/>
            </w:tcBorders>
            <w:shd w:val="clear" w:color="auto" w:fill="auto"/>
            <w:vAlign w:val="bottom"/>
          </w:tcPr>
          <w:p w14:paraId="4B7AA141" w14:textId="77777777" w:rsidR="0016696A" w:rsidRPr="00B10D24" w:rsidRDefault="0016696A" w:rsidP="003F219A">
            <w:pPr>
              <w:keepNext/>
              <w:keepLines/>
              <w:spacing w:before="40" w:after="120"/>
              <w:ind w:left="144" w:right="43"/>
              <w:rPr>
                <w:lang w:eastAsia="zh-CN"/>
              </w:rPr>
            </w:pPr>
          </w:p>
        </w:tc>
        <w:tc>
          <w:tcPr>
            <w:tcW w:w="1667" w:type="pct"/>
            <w:tcBorders>
              <w:top w:val="single" w:sz="12" w:space="0" w:color="auto"/>
            </w:tcBorders>
            <w:shd w:val="clear" w:color="auto" w:fill="auto"/>
            <w:vAlign w:val="bottom"/>
          </w:tcPr>
          <w:p w14:paraId="3A892131" w14:textId="77777777" w:rsidR="0016696A" w:rsidRPr="00B10D24" w:rsidRDefault="0016696A" w:rsidP="003F219A">
            <w:pPr>
              <w:keepNext/>
              <w:keepLines/>
              <w:spacing w:before="40" w:after="120"/>
              <w:ind w:left="144" w:right="43"/>
              <w:rPr>
                <w:lang w:eastAsia="zh-CN"/>
              </w:rPr>
            </w:pPr>
          </w:p>
        </w:tc>
      </w:tr>
      <w:tr w:rsidR="0016696A" w:rsidRPr="00B10D24" w14:paraId="2809827E" w14:textId="77777777" w:rsidTr="00206464">
        <w:tc>
          <w:tcPr>
            <w:tcW w:w="1666" w:type="pct"/>
            <w:tcBorders>
              <w:bottom w:val="single" w:sz="12" w:space="0" w:color="auto"/>
            </w:tcBorders>
            <w:shd w:val="clear" w:color="auto" w:fill="auto"/>
          </w:tcPr>
          <w:p w14:paraId="40DD915D" w14:textId="77777777" w:rsidR="0016696A" w:rsidRPr="00B10D24" w:rsidRDefault="0016696A" w:rsidP="003F219A">
            <w:pPr>
              <w:keepNext/>
              <w:keepLines/>
              <w:tabs>
                <w:tab w:val="left" w:pos="288"/>
                <w:tab w:val="left" w:pos="576"/>
                <w:tab w:val="left" w:pos="864"/>
                <w:tab w:val="left" w:pos="1152"/>
              </w:tabs>
              <w:spacing w:before="40" w:after="120"/>
              <w:ind w:right="43"/>
              <w:rPr>
                <w:lang w:eastAsia="zh-CN"/>
              </w:rPr>
            </w:pPr>
            <w:r w:rsidRPr="00B10D24">
              <w:t>Development of city-wide climate change action plans in five cities</w:t>
            </w:r>
          </w:p>
        </w:tc>
        <w:tc>
          <w:tcPr>
            <w:tcW w:w="1666" w:type="pct"/>
            <w:tcBorders>
              <w:bottom w:val="single" w:sz="12" w:space="0" w:color="auto"/>
            </w:tcBorders>
            <w:shd w:val="clear" w:color="auto" w:fill="auto"/>
          </w:tcPr>
          <w:p w14:paraId="0F1E8457" w14:textId="77777777" w:rsidR="0016696A" w:rsidRPr="00B10D24" w:rsidRDefault="0016696A" w:rsidP="003F219A">
            <w:pPr>
              <w:keepNext/>
              <w:keepLines/>
              <w:tabs>
                <w:tab w:val="left" w:pos="288"/>
                <w:tab w:val="left" w:pos="576"/>
                <w:tab w:val="left" w:pos="864"/>
                <w:tab w:val="left" w:pos="1152"/>
              </w:tabs>
              <w:spacing w:before="40" w:after="120"/>
              <w:ind w:left="144" w:right="43"/>
              <w:rPr>
                <w:lang w:eastAsia="zh-CN"/>
              </w:rPr>
            </w:pPr>
            <w:r w:rsidRPr="00B10D24">
              <w:t>Prioritized climate projects developed and prepared for finance</w:t>
            </w:r>
          </w:p>
        </w:tc>
        <w:tc>
          <w:tcPr>
            <w:tcW w:w="1667" w:type="pct"/>
            <w:tcBorders>
              <w:bottom w:val="single" w:sz="12" w:space="0" w:color="auto"/>
            </w:tcBorders>
            <w:shd w:val="clear" w:color="auto" w:fill="auto"/>
          </w:tcPr>
          <w:p w14:paraId="20C7B222" w14:textId="77777777" w:rsidR="0016696A" w:rsidRPr="00B10D24" w:rsidRDefault="0016696A" w:rsidP="003F219A">
            <w:pPr>
              <w:keepNext/>
              <w:keepLines/>
              <w:tabs>
                <w:tab w:val="left" w:pos="288"/>
                <w:tab w:val="left" w:pos="576"/>
                <w:tab w:val="left" w:pos="864"/>
                <w:tab w:val="left" w:pos="1152"/>
              </w:tabs>
              <w:spacing w:before="40" w:after="120"/>
              <w:ind w:left="144" w:right="43"/>
              <w:rPr>
                <w:iCs/>
                <w:lang w:eastAsia="zh-CN"/>
              </w:rPr>
            </w:pPr>
            <w:r w:rsidRPr="00B10D24">
              <w:t>COVID-19 response integrated into the plans and selected climate projects of five cities in the Philippines</w:t>
            </w:r>
          </w:p>
        </w:tc>
      </w:tr>
    </w:tbl>
    <w:p w14:paraId="0FDFE1D6"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AE77BDA"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D871B02"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Impact of COVID-19 on subprogramme delivery</w:t>
      </w:r>
    </w:p>
    <w:p w14:paraId="0323FA24" w14:textId="77777777" w:rsidR="0016696A" w:rsidRPr="00B10D24" w:rsidRDefault="0016696A" w:rsidP="0016696A">
      <w:pPr>
        <w:pStyle w:val="SingleTxt"/>
        <w:spacing w:after="0" w:line="120" w:lineRule="exact"/>
        <w:rPr>
          <w:sz w:val="10"/>
        </w:rPr>
      </w:pPr>
    </w:p>
    <w:p w14:paraId="163FE576"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15.90</w:t>
      </w:r>
      <w:r w:rsidRPr="00B10D24">
        <w:tab/>
        <w:t>Owing to the impact of COVID-19 during 2020, the implementation of numerous large-scale climate change programmes started up to six months late, and the rate of implementation was slower as a result of lockdowns or other movement restrictions; examples include projects in the Comoros, the Lao People’s Democratic Republic, Madagascar, Malawi and Mozambique. In countries with very severe international travel restrictions, project implementation all but halted; for example, project advisers have not been allowed to travel to Solomon Islands since March 2020 and some project components could not be implemented with local capacities only. These changes had an impact on the programme performance in 2020, as specified in results 1 and 2 below.</w:t>
      </w:r>
    </w:p>
    <w:p w14:paraId="2C52A40E"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15.91</w:t>
      </w:r>
      <w:r w:rsidRPr="00B10D24">
        <w:tab/>
        <w:t>At the same time, however, the subprogramme identified new activities to support Member States on issues related to COVID-19, within the overall scope of its objectives, namely supporting green recovery and addressing socioeconomic vulnerabilities affected by climate change and COVID-19. This included contributing to socioeconomic response plans at the city and national levels by leveraging climate change analyses as well as organizing seminars and workshops with mayors and local government officials. The modified deliverables contributed to results in 2020, as specified in the emerging result for 2020 above.</w:t>
      </w:r>
    </w:p>
    <w:p w14:paraId="796C82CD"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2E2EAE2"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659B60B" w14:textId="77777777" w:rsidR="0016696A" w:rsidRPr="00B10D24" w:rsidRDefault="0016696A" w:rsidP="0016696A">
      <w:pPr>
        <w:pStyle w:val="H1"/>
        <w:ind w:right="1260"/>
      </w:pPr>
      <w:r w:rsidRPr="00B10D24">
        <w:tab/>
      </w:r>
      <w:r w:rsidRPr="00B10D24">
        <w:tab/>
        <w:t>Planned results for 2022</w:t>
      </w:r>
    </w:p>
    <w:p w14:paraId="1AA9AAF3" w14:textId="77777777" w:rsidR="0016696A" w:rsidRPr="00B10D24" w:rsidRDefault="0016696A" w:rsidP="0016696A">
      <w:pPr>
        <w:pStyle w:val="SingleTxt"/>
        <w:spacing w:after="0" w:line="120" w:lineRule="exact"/>
        <w:rPr>
          <w:sz w:val="10"/>
        </w:rPr>
      </w:pPr>
    </w:p>
    <w:p w14:paraId="7A0FF5C7" w14:textId="77777777" w:rsidR="0016696A" w:rsidRPr="00B10D24" w:rsidRDefault="0016696A" w:rsidP="0016696A">
      <w:pPr>
        <w:pStyle w:val="SingleTxt"/>
        <w:spacing w:after="0" w:line="120" w:lineRule="exact"/>
        <w:rPr>
          <w:sz w:val="10"/>
        </w:rPr>
      </w:pPr>
    </w:p>
    <w:p w14:paraId="5154DAC3"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15.92</w:t>
      </w:r>
      <w:r w:rsidRPr="00B10D24">
        <w:tab/>
        <w:t>The planned results for 2022 include results 1 and 2, which are updates of results presented in the preceding proposed programme plans and therefore show both the programme performance in 2020 and the proposed programme plan for 2022. Result 3 is a new planned result.</w:t>
      </w:r>
    </w:p>
    <w:p w14:paraId="3F59544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1027DFB"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 w:hanging="1267"/>
        <w:rPr>
          <w:lang w:val="en-GB"/>
        </w:rPr>
      </w:pPr>
      <w:r w:rsidRPr="00B10D24">
        <w:rPr>
          <w:lang w:val="en-GB"/>
        </w:rPr>
        <w:tab/>
      </w:r>
      <w:r w:rsidRPr="00B10D24">
        <w:rPr>
          <w:lang w:val="en-GB"/>
        </w:rPr>
        <w:tab/>
        <w:t>Result 1: Strengthened adaptation to climate change and other shocks: Solomon Islands</w:t>
      </w:r>
      <w:r w:rsidRPr="00B10D24">
        <w:rPr>
          <w:rStyle w:val="FootnoteReference"/>
          <w:b w:val="0"/>
          <w:bCs/>
          <w:lang w:val="en-GB"/>
        </w:rPr>
        <w:footnoteReference w:id="6"/>
      </w:r>
    </w:p>
    <w:p w14:paraId="37A7F8C0" w14:textId="77777777" w:rsidR="0016696A" w:rsidRPr="00B10D24" w:rsidRDefault="0016696A" w:rsidP="0016696A">
      <w:pPr>
        <w:pStyle w:val="SingleTxt"/>
        <w:spacing w:after="0" w:line="120" w:lineRule="exact"/>
        <w:rPr>
          <w:sz w:val="10"/>
        </w:rPr>
      </w:pPr>
    </w:p>
    <w:p w14:paraId="41FEAD2D"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Programme performance in 2020</w:t>
      </w:r>
    </w:p>
    <w:p w14:paraId="62465F80" w14:textId="77777777" w:rsidR="0016696A" w:rsidRPr="00B10D24" w:rsidRDefault="0016696A" w:rsidP="0016696A">
      <w:pPr>
        <w:pStyle w:val="SingleTxt"/>
        <w:spacing w:after="0" w:line="120" w:lineRule="exact"/>
        <w:rPr>
          <w:sz w:val="10"/>
        </w:rPr>
      </w:pPr>
    </w:p>
    <w:p w14:paraId="40CAAEA1"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15.93</w:t>
      </w:r>
      <w:r w:rsidRPr="00B10D24">
        <w:tab/>
        <w:t>The subprogramme has continued to support the Government of Solomon Islands, the Honiara City Council and communities in five informal settlement areas in the development and implementation of community climate change action plans. The subprogramme also supported the national and local governments in the analysis of the socioeconomic impact of COVID-19 on these five communities. Furthermore, the subprogramme supported the national Government in its spatial and institutional analysis of COVID-19 and the compounded impacts of climate change.</w:t>
      </w:r>
    </w:p>
    <w:p w14:paraId="3A9A3D5E"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15.94</w:t>
      </w:r>
      <w:r w:rsidRPr="00B10D24">
        <w:tab/>
        <w:t>The work above did not contribute to any additional informal settlement implementing community-level resilience action, which did not meet the planned target of five settlements reflected in the proposed programme budget for 2020. The planned target for 2020 could not be fully met as infrastructure projects have not yet commenced owing to the complete closure of the border as a result of COVID-19.</w:t>
      </w:r>
    </w:p>
    <w:p w14:paraId="4A3101AF"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51A7BCD" w14:textId="77777777" w:rsidR="0016696A" w:rsidRPr="00B10D24" w:rsidRDefault="0016696A" w:rsidP="003F219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lastRenderedPageBreak/>
        <w:tab/>
      </w:r>
      <w:r w:rsidRPr="00B10D24">
        <w:rPr>
          <w:lang w:val="en-GB"/>
        </w:rPr>
        <w:tab/>
        <w:t>Proposed programme plan for 2022</w:t>
      </w:r>
    </w:p>
    <w:p w14:paraId="740C5085" w14:textId="77777777" w:rsidR="0016696A" w:rsidRPr="00B10D24" w:rsidRDefault="0016696A" w:rsidP="003F219A">
      <w:pPr>
        <w:pStyle w:val="SingleTxt"/>
        <w:keepNext/>
        <w:keepLines/>
        <w:spacing w:after="0" w:line="120" w:lineRule="exact"/>
        <w:rPr>
          <w:sz w:val="10"/>
        </w:rPr>
      </w:pPr>
    </w:p>
    <w:p w14:paraId="1779F17C" w14:textId="77777777" w:rsidR="0016696A" w:rsidRPr="00B10D24" w:rsidRDefault="0016696A" w:rsidP="003F21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15.95</w:t>
      </w:r>
      <w:r w:rsidRPr="00B10D24">
        <w:tab/>
        <w:t>The subprogramme will continue the work related to the planned result, in line with its mandate. To contribute to further progress towards the objective, the subprogramme will accelerate implementation once the COVID-19 situation allows and, in the meantime, will work more closely with increased national expertise that will be built through virtual support. In 2022, the subprogramme will implement community resilience initiatives such as activities related to community infrastructure and sustainable and resilient livelihoods. The expected progress is presented in the performance measure below (see figure 15.VII).</w:t>
      </w:r>
    </w:p>
    <w:p w14:paraId="3C31DC91"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FE77B31" w14:textId="77777777" w:rsidR="0016696A" w:rsidRPr="00B10D24" w:rsidRDefault="0016696A" w:rsidP="0016696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t>Figure 15.VII</w:t>
      </w:r>
    </w:p>
    <w:p w14:paraId="4E6E02CE" w14:textId="77777777" w:rsidR="0016696A" w:rsidRPr="00B10D24" w:rsidRDefault="0016696A" w:rsidP="0016696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0"/>
        <w:rPr>
          <w:lang w:val="en-GB"/>
        </w:rPr>
      </w:pPr>
      <w:r w:rsidRPr="00B10D24">
        <w:rPr>
          <w:lang w:val="en-GB"/>
        </w:rPr>
        <w:t>Performance measure: number of informal settlements that have implemented community-level resilience action (annual)</w:t>
      </w:r>
    </w:p>
    <w:p w14:paraId="6D6E8A46" w14:textId="77777777" w:rsidR="0016696A" w:rsidRPr="00B10D24" w:rsidRDefault="0016696A" w:rsidP="0016696A">
      <w:pPr>
        <w:pStyle w:val="SingleTxt"/>
        <w:keepNext/>
        <w:keepLines/>
        <w:spacing w:after="0" w:line="120" w:lineRule="exact"/>
        <w:rPr>
          <w:sz w:val="10"/>
        </w:rPr>
      </w:pPr>
    </w:p>
    <w:p w14:paraId="44BB9FC8" w14:textId="23EF270A" w:rsidR="0016696A" w:rsidRPr="00B10D24" w:rsidRDefault="003F219A" w:rsidP="0016696A">
      <w:pPr>
        <w:pStyle w:val="SingleTxt"/>
        <w:keepNext/>
        <w:keepLines/>
        <w:spacing w:after="0" w:line="120" w:lineRule="exact"/>
        <w:rPr>
          <w:sz w:val="10"/>
        </w:rPr>
      </w:pPr>
      <w:r>
        <w:rPr>
          <w:noProof/>
          <w:lang w:val="en-US"/>
        </w:rPr>
        <w:drawing>
          <wp:anchor distT="0" distB="0" distL="114300" distR="114300" simplePos="0" relativeHeight="251676672" behindDoc="0" locked="0" layoutInCell="1" allowOverlap="1" wp14:anchorId="30035911" wp14:editId="0B803E42">
            <wp:simplePos x="0" y="0"/>
            <wp:positionH relativeFrom="margin">
              <wp:align>left</wp:align>
            </wp:positionH>
            <wp:positionV relativeFrom="paragraph">
              <wp:posOffset>81677</wp:posOffset>
            </wp:positionV>
            <wp:extent cx="6243320" cy="1745615"/>
            <wp:effectExtent l="0" t="0" r="5080" b="6985"/>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262242" cy="1751283"/>
                    </a:xfrm>
                    <a:prstGeom prst="rect">
                      <a:avLst/>
                    </a:prstGeom>
                    <a:noFill/>
                  </pic:spPr>
                </pic:pic>
              </a:graphicData>
            </a:graphic>
            <wp14:sizeRelH relativeFrom="page">
              <wp14:pctWidth>0</wp14:pctWidth>
            </wp14:sizeRelH>
            <wp14:sizeRelV relativeFrom="page">
              <wp14:pctHeight>0</wp14:pctHeight>
            </wp14:sizeRelV>
          </wp:anchor>
        </w:drawing>
      </w:r>
    </w:p>
    <w:p w14:paraId="16774031"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7E654B7" w14:textId="77777777" w:rsidR="0016696A" w:rsidRPr="00B10D24" w:rsidRDefault="0016696A" w:rsidP="0016696A">
      <w:pPr>
        <w:pStyle w:val="FootnoteText"/>
        <w:tabs>
          <w:tab w:val="clear" w:pos="418"/>
          <w:tab w:val="right" w:pos="216"/>
          <w:tab w:val="left" w:pos="288"/>
          <w:tab w:val="right" w:pos="576"/>
          <w:tab w:val="left" w:pos="648"/>
        </w:tabs>
        <w:ind w:left="288" w:hanging="288"/>
      </w:pPr>
      <w:r w:rsidRPr="00B10D24">
        <w:tab/>
      </w:r>
      <w:r w:rsidRPr="00B10D24">
        <w:rPr>
          <w:i/>
          <w:iCs/>
          <w:vertAlign w:val="superscript"/>
        </w:rPr>
        <w:t>a</w:t>
      </w:r>
      <w:r w:rsidRPr="00B10D24">
        <w:tab/>
      </w:r>
      <w:r w:rsidRPr="00B10D24">
        <w:tab/>
        <w:t>To maintain accountability for initial programme plans, the 2021 target is carried forward from the proposed programme budget for 2021 and reflects best estimates at that point in time before the COVID-19 pandemic. Programme performance for 2021 will be reported in the proposed programme budget for 2023.</w:t>
      </w:r>
    </w:p>
    <w:p w14:paraId="5A4CE42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2DA30D8"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790A58A"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0" w:hanging="1267"/>
        <w:rPr>
          <w:lang w:val="en-GB"/>
        </w:rPr>
      </w:pPr>
      <w:r w:rsidRPr="00B10D24">
        <w:rPr>
          <w:lang w:val="en-GB"/>
        </w:rPr>
        <w:tab/>
      </w:r>
      <w:r w:rsidRPr="00B10D24">
        <w:rPr>
          <w:lang w:val="en-GB"/>
        </w:rPr>
        <w:tab/>
        <w:t>Result 2: accelerated climate action in 16 cities and eight countries around the world</w:t>
      </w:r>
      <w:r w:rsidRPr="00B10D24">
        <w:rPr>
          <w:rStyle w:val="FootnoteReference"/>
          <w:b w:val="0"/>
          <w:bCs/>
          <w:lang w:val="en-GB"/>
        </w:rPr>
        <w:footnoteReference w:id="7"/>
      </w:r>
    </w:p>
    <w:p w14:paraId="232B5528" w14:textId="77777777" w:rsidR="0016696A" w:rsidRPr="00B10D24" w:rsidRDefault="0016696A" w:rsidP="0016696A">
      <w:pPr>
        <w:pStyle w:val="SingleTxt"/>
        <w:spacing w:after="0" w:line="120" w:lineRule="exact"/>
        <w:rPr>
          <w:sz w:val="10"/>
        </w:rPr>
      </w:pPr>
    </w:p>
    <w:p w14:paraId="506EB7F2"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Programme performance in 2020</w:t>
      </w:r>
    </w:p>
    <w:p w14:paraId="4293A5A4" w14:textId="77777777" w:rsidR="0016696A" w:rsidRPr="00B10D24" w:rsidRDefault="0016696A" w:rsidP="0016696A">
      <w:pPr>
        <w:pStyle w:val="SingleTxt"/>
        <w:spacing w:after="0" w:line="120" w:lineRule="exact"/>
        <w:rPr>
          <w:sz w:val="10"/>
        </w:rPr>
      </w:pPr>
    </w:p>
    <w:p w14:paraId="35465F8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15.96</w:t>
      </w:r>
      <w:r w:rsidRPr="00B10D24">
        <w:tab/>
        <w:t xml:space="preserve">The subprogramme has supported 16 cities in Bangladesh, Brazil, Colombia, Indonesia, India, the Lao People’s Democratic Republic, Rwanda and South Africa in progressing through the steps of their city climate action planning, including through the development of 15 new or updated greenhouse gas inventories and 13 new or updated climate risk and vulnerability assessments. The subprogramme also supported capacity-building and training efforts, including peer-to-peer exchange between cities in Rwanda and South Africa and between cities in Indonesia and the Lao People’s Democratic Republic. Furthermore, the subprogramme supported the vertical integration and enhanced the multilevel governance of these local efforts through the release of a guide entitled “Enhancing nationally determined contributions through urban climate action”, as well as country-level advisory services for improved multilevel governance. </w:t>
      </w:r>
    </w:p>
    <w:p w14:paraId="67CC1E9A"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15.97</w:t>
      </w:r>
      <w:r w:rsidRPr="00B10D24">
        <w:tab/>
        <w:t>The above-mentioned work contributed to eight cities enacting legal frameworks for low-emission development strategies that are partially in draft form and have not yet been adopted by local governments, which did not meet the target of 10 cities enacting such frameworks reflected in the proposed programme budget for 2020. The frameworks are comprehensive in nature and cover sectoral low-emission development strategies in building and construction, energy systems, transport and land use. COVID-19 lockdowns disrupted the participatory process for drafting the climate strategies and action plans. A project extension agreed by the donor reflects this reality and allows for the draft legal frameworks to be completed before September 2021.</w:t>
      </w:r>
    </w:p>
    <w:p w14:paraId="1CBEE23F"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1FA5EBB" w14:textId="77777777" w:rsidR="0016696A" w:rsidRPr="00B10D24" w:rsidRDefault="0016696A" w:rsidP="003F219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lastRenderedPageBreak/>
        <w:tab/>
      </w:r>
      <w:r w:rsidRPr="00B10D24">
        <w:rPr>
          <w:lang w:val="en-GB"/>
        </w:rPr>
        <w:tab/>
        <w:t>Proposed programme plan for 2022</w:t>
      </w:r>
    </w:p>
    <w:p w14:paraId="5D110F96" w14:textId="77777777" w:rsidR="0016696A" w:rsidRPr="00B10D24" w:rsidRDefault="0016696A" w:rsidP="003F219A">
      <w:pPr>
        <w:pStyle w:val="SingleTxt"/>
        <w:keepNext/>
        <w:keepLines/>
        <w:spacing w:after="0" w:line="120" w:lineRule="exact"/>
        <w:rPr>
          <w:sz w:val="10"/>
        </w:rPr>
      </w:pPr>
    </w:p>
    <w:p w14:paraId="728FDDA8" w14:textId="77777777" w:rsidR="0016696A" w:rsidRPr="00B10D24" w:rsidRDefault="0016696A" w:rsidP="003F21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15.98</w:t>
      </w:r>
      <w:r w:rsidRPr="00B10D24">
        <w:tab/>
        <w:t>The subprogramme will continue the work related to the planned result, in line with its mandate. To contribute to further progress towards the objective, the subprogramme will continue to support the Lao People’s Democratic Republic in the implementation of policies and plans with an emphasis on green and resilient recovery. It also plans to identify a new set of cities in Mexico where policy support will be provided. Other opportunities to deliver city-level climate action support will be explored. The expected progress is presented in the performance measure below (see figure 15.VIII).</w:t>
      </w:r>
    </w:p>
    <w:p w14:paraId="1437730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E441308" w14:textId="77777777" w:rsidR="0016696A" w:rsidRPr="00B10D24" w:rsidRDefault="0016696A" w:rsidP="0016696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t>Figure 15.VIII</w:t>
      </w:r>
    </w:p>
    <w:p w14:paraId="049AE4B0" w14:textId="77777777" w:rsidR="0016696A" w:rsidRPr="00B10D24" w:rsidRDefault="0016696A" w:rsidP="0016696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390"/>
        <w:rPr>
          <w:lang w:val="en-GB"/>
        </w:rPr>
      </w:pPr>
      <w:r w:rsidRPr="00B10D24">
        <w:rPr>
          <w:lang w:val="en-GB"/>
        </w:rPr>
        <w:t xml:space="preserve">Performance measure: total number of cities enacting legal frameworks for low-emission development strategies with support from the United Nations Human Settlements Programme (cumulative) </w:t>
      </w:r>
    </w:p>
    <w:p w14:paraId="4543F20E" w14:textId="42C21864" w:rsidR="0016696A" w:rsidRPr="00B10D24" w:rsidRDefault="003F219A" w:rsidP="00166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lang w:val="en-US"/>
        </w:rPr>
        <w:drawing>
          <wp:anchor distT="0" distB="0" distL="114300" distR="114300" simplePos="0" relativeHeight="251678720" behindDoc="0" locked="0" layoutInCell="1" allowOverlap="1" wp14:anchorId="6AFAAD5C" wp14:editId="2B2E967C">
            <wp:simplePos x="0" y="0"/>
            <wp:positionH relativeFrom="margin">
              <wp:align>right</wp:align>
            </wp:positionH>
            <wp:positionV relativeFrom="paragraph">
              <wp:posOffset>157878</wp:posOffset>
            </wp:positionV>
            <wp:extent cx="6254750" cy="1835150"/>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254750" cy="1835150"/>
                    </a:xfrm>
                    <a:prstGeom prst="rect">
                      <a:avLst/>
                    </a:prstGeom>
                    <a:noFill/>
                  </pic:spPr>
                </pic:pic>
              </a:graphicData>
            </a:graphic>
            <wp14:sizeRelH relativeFrom="page">
              <wp14:pctWidth>0</wp14:pctWidth>
            </wp14:sizeRelH>
            <wp14:sizeRelV relativeFrom="page">
              <wp14:pctHeight>0</wp14:pctHeight>
            </wp14:sizeRelV>
          </wp:anchor>
        </w:drawing>
      </w:r>
    </w:p>
    <w:p w14:paraId="5AA9CCD0" w14:textId="13026236" w:rsidR="0016696A" w:rsidRPr="00B10D24" w:rsidRDefault="0016696A" w:rsidP="00166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0A6AEF1"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5923230" w14:textId="77777777" w:rsidR="0016696A" w:rsidRPr="00B10D24" w:rsidRDefault="0016696A" w:rsidP="0016696A">
      <w:pPr>
        <w:pStyle w:val="FootnoteText"/>
        <w:tabs>
          <w:tab w:val="clear" w:pos="418"/>
          <w:tab w:val="right" w:pos="216"/>
          <w:tab w:val="left" w:pos="288"/>
          <w:tab w:val="right" w:pos="576"/>
          <w:tab w:val="left" w:pos="648"/>
        </w:tabs>
        <w:ind w:left="288" w:hanging="288"/>
      </w:pPr>
      <w:r w:rsidRPr="00B10D24">
        <w:tab/>
      </w:r>
      <w:r w:rsidRPr="00B10D24">
        <w:rPr>
          <w:i/>
          <w:iCs/>
          <w:vertAlign w:val="superscript"/>
        </w:rPr>
        <w:t>a</w:t>
      </w:r>
      <w:r w:rsidRPr="00B10D24">
        <w:tab/>
      </w:r>
      <w:r w:rsidRPr="00B10D24">
        <w:tab/>
        <w:t>To maintain accountability for initial programme plans, the 2021 target is carried forward from the proposed programme budget for 2021 and reflects best estimates at that point in time before the COVID-19 pandemic. Programme performance for 2021 will be reported in the proposed programme budget for 2023.</w:t>
      </w:r>
    </w:p>
    <w:p w14:paraId="749C1EB8"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4537D65"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1FE4B9B"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Result 3: participatory urban resilience action in Southern Africa</w:t>
      </w:r>
    </w:p>
    <w:p w14:paraId="03A750D4" w14:textId="77777777" w:rsidR="0016696A" w:rsidRPr="00B10D24" w:rsidRDefault="0016696A" w:rsidP="0016696A">
      <w:pPr>
        <w:pStyle w:val="SingleTxt"/>
        <w:spacing w:after="0" w:line="120" w:lineRule="exact"/>
        <w:rPr>
          <w:sz w:val="10"/>
        </w:rPr>
      </w:pPr>
    </w:p>
    <w:p w14:paraId="44D48E7C"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Proposed programme plan for 2022</w:t>
      </w:r>
    </w:p>
    <w:p w14:paraId="296B111A" w14:textId="77777777" w:rsidR="0016696A" w:rsidRPr="00B10D24" w:rsidRDefault="0016696A" w:rsidP="0016696A">
      <w:pPr>
        <w:pStyle w:val="SingleTxt"/>
        <w:spacing w:after="0" w:line="120" w:lineRule="exact"/>
        <w:rPr>
          <w:sz w:val="10"/>
        </w:rPr>
      </w:pPr>
    </w:p>
    <w:p w14:paraId="0B7BD50F"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15.99</w:t>
      </w:r>
      <w:r w:rsidRPr="00B10D24">
        <w:tab/>
        <w:t>In sub-Saharan Africa, the critical situation arising from multiple increasingly extreme weather-related hazards caused by climate change, combined with extraordinarily rapid urbanization, a lack of adequate infrastructure and the risks associated with health emergencies, including pandemics, requires an urgent response. The hazards and vulnerabilities faced by urban areas transcend national boundaries and are shared by cities in multiple countries. Capacity-building activities were carried out to promote cooperation and sustainable and resilient urbanization in Southern, East and West Africa. Participatory urban resilience planning using the city resilience action planning tool (CityRAP) methodology was implemented in 10 cities across seven countries (Comoros, Ethiopia, Malawi, Mozambique, South Africa, Zambia and Zimbabwe). With regard to normative work, a regional assessment on urban vulnerability and resilience was conducted in the 16 States members of the Southern African Development Community (SADC). The subprogramme has been supporting the affected urban settlements in the region through efforts at different levels of government to foster better community-led participatory climate-related resilience planning, coordination, response, preparedness and adaptation. The subprogramme facilitated the regional and subregional exchange of knowledge among national and local authorities and academic institutions from different SADC countries.</w:t>
      </w:r>
    </w:p>
    <w:p w14:paraId="28A96649"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5C5BD17" w14:textId="77777777" w:rsidR="0016696A" w:rsidRPr="00B10D24" w:rsidRDefault="0016696A" w:rsidP="0016696A">
      <w:pPr>
        <w:pStyle w:val="H4"/>
        <w:ind w:right="1260"/>
      </w:pPr>
      <w:r w:rsidRPr="00B10D24">
        <w:tab/>
      </w:r>
      <w:r w:rsidRPr="00B10D24">
        <w:tab/>
        <w:t>Lessons learned and planned change</w:t>
      </w:r>
    </w:p>
    <w:p w14:paraId="0DF3C22C" w14:textId="77777777" w:rsidR="0016696A" w:rsidRPr="00B10D24" w:rsidRDefault="0016696A" w:rsidP="0016696A">
      <w:pPr>
        <w:pStyle w:val="SingleTxt"/>
        <w:spacing w:after="0" w:line="120" w:lineRule="exact"/>
        <w:rPr>
          <w:sz w:val="10"/>
        </w:rPr>
      </w:pPr>
    </w:p>
    <w:p w14:paraId="5B6CC8E8"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15.100</w:t>
      </w:r>
      <w:r w:rsidRPr="00B10D24">
        <w:tab/>
        <w:t xml:space="preserve">The lesson for the subprogramme was that it needed to better support multi-country coordination to strengthen the links between the regional, national and city levels. In addition, smaller secondary cities in Southern Africa hold the key to building urban resilience in the region, given their rapid urban growth and limited resources. In applying the lesson, the subprogramme will take a dual </w:t>
      </w:r>
      <w:r w:rsidRPr="00B10D24">
        <w:lastRenderedPageBreak/>
        <w:t>approach, improving regional coordination for an effective trickle-down effect of policies and regulations and promoting a bottom-up approach in which participatory resilience and climate adaptation planning in secondary cities inform planning at the national and regional levels through cross-fertilization and the exchange of best practices, including with regard to the design and implementation of resilient infrastructure. In 2022, the subprogramme will expand its support to Member States in relation to the implementation of climate and pandemic resilience plans in two additional cities and will further support regional efforts across the 16 SADC countries to build capacity on local-level disaster risk reduction and climate change adaptation policies.</w:t>
      </w:r>
    </w:p>
    <w:p w14:paraId="77644B96"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DB4BB7E" w14:textId="77777777" w:rsidR="0016696A" w:rsidRPr="00B10D24" w:rsidRDefault="0016696A" w:rsidP="0016696A">
      <w:pPr>
        <w:pStyle w:val="H4"/>
        <w:ind w:right="1260"/>
      </w:pPr>
      <w:r w:rsidRPr="00B10D24">
        <w:tab/>
      </w:r>
      <w:r w:rsidRPr="00B10D24">
        <w:tab/>
        <w:t>Expected progress towards the attainment of the objective, and performance measure</w:t>
      </w:r>
    </w:p>
    <w:p w14:paraId="7989B04E"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23D90E1" w14:textId="52B3BB4E"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15.101</w:t>
      </w:r>
      <w:r w:rsidRPr="00B10D24">
        <w:tab/>
        <w:t>This work is e</w:t>
      </w:r>
      <w:bookmarkStart w:id="7" w:name="TmpSave"/>
      <w:bookmarkEnd w:id="7"/>
      <w:r w:rsidRPr="00B10D24">
        <w:t>xpected to contribute to the objective, as demonstrated by 18 distinct resilience action frameworks developed in sub-Sahara</w:t>
      </w:r>
      <w:r w:rsidR="00BC38D1">
        <w:t>n</w:t>
      </w:r>
      <w:r w:rsidRPr="00B10D24">
        <w:t xml:space="preserve"> Africa (see </w:t>
      </w:r>
      <w:r w:rsidR="005B0896">
        <w:t>figure</w:t>
      </w:r>
      <w:r w:rsidRPr="00B10D24">
        <w:t xml:space="preserve"> 15.IX).</w:t>
      </w:r>
    </w:p>
    <w:p w14:paraId="7EEBDAF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93CC7D2" w14:textId="77777777" w:rsidR="0016696A" w:rsidRPr="00B10D24" w:rsidRDefault="0016696A" w:rsidP="0016696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t>Figure 15.IX</w:t>
      </w:r>
    </w:p>
    <w:p w14:paraId="6BCA87D9" w14:textId="38EF2D22" w:rsidR="0016696A" w:rsidRPr="00B10D24" w:rsidRDefault="0016696A" w:rsidP="0016696A">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100"/>
        </w:tabs>
        <w:ind w:right="300"/>
        <w:rPr>
          <w:lang w:val="en-GB"/>
        </w:rPr>
      </w:pPr>
      <w:r w:rsidRPr="00B10D24">
        <w:rPr>
          <w:lang w:val="en-GB"/>
        </w:rPr>
        <w:t>Performance measure: total number of distinct resilience action frameworks developed in sub-Sahara</w:t>
      </w:r>
      <w:r w:rsidR="00BC38D1">
        <w:rPr>
          <w:lang w:val="en-GB"/>
        </w:rPr>
        <w:t>n</w:t>
      </w:r>
      <w:r w:rsidRPr="00B10D24">
        <w:rPr>
          <w:lang w:val="en-GB"/>
        </w:rPr>
        <w:t xml:space="preserve"> Africa (cumulative)</w:t>
      </w:r>
    </w:p>
    <w:p w14:paraId="53CA7163" w14:textId="77777777" w:rsidR="0016696A" w:rsidRPr="00B10D24" w:rsidRDefault="0016696A" w:rsidP="00166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86CCFFD" w14:textId="6FCA2EED" w:rsidR="0016696A" w:rsidRPr="00B10D24" w:rsidRDefault="003F219A" w:rsidP="0016696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lang w:val="en-US"/>
        </w:rPr>
        <w:drawing>
          <wp:anchor distT="0" distB="0" distL="114300" distR="114300" simplePos="0" relativeHeight="251680768" behindDoc="0" locked="0" layoutInCell="1" allowOverlap="1" wp14:anchorId="35382B97" wp14:editId="0A72D9BD">
            <wp:simplePos x="0" y="0"/>
            <wp:positionH relativeFrom="margin">
              <wp:align>right</wp:align>
            </wp:positionH>
            <wp:positionV relativeFrom="paragraph">
              <wp:posOffset>76067</wp:posOffset>
            </wp:positionV>
            <wp:extent cx="6254750" cy="1804035"/>
            <wp:effectExtent l="0" t="0" r="0" b="571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254750" cy="1804035"/>
                    </a:xfrm>
                    <a:prstGeom prst="rect">
                      <a:avLst/>
                    </a:prstGeom>
                    <a:noFill/>
                  </pic:spPr>
                </pic:pic>
              </a:graphicData>
            </a:graphic>
            <wp14:sizeRelH relativeFrom="page">
              <wp14:pctWidth>0</wp14:pctWidth>
            </wp14:sizeRelH>
            <wp14:sizeRelV relativeFrom="page">
              <wp14:pctHeight>0</wp14:pctHeight>
            </wp14:sizeRelV>
          </wp:anchor>
        </w:drawing>
      </w:r>
    </w:p>
    <w:p w14:paraId="7C3F1E38"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C774EF8"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81D470D"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63B9817" w14:textId="77777777" w:rsidR="0016696A" w:rsidRPr="00B10D24" w:rsidRDefault="0016696A" w:rsidP="0016696A">
      <w:pPr>
        <w:pStyle w:val="H1"/>
        <w:ind w:right="1260"/>
      </w:pPr>
      <w:r w:rsidRPr="00B10D24">
        <w:tab/>
      </w:r>
      <w:r w:rsidRPr="00B10D24">
        <w:tab/>
        <w:t>Legislative mandates</w:t>
      </w:r>
    </w:p>
    <w:p w14:paraId="3746601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1E0C22C"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685E2D5"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15.102</w:t>
      </w:r>
      <w:r w:rsidRPr="00B10D24">
        <w:tab/>
        <w:t>The list below provides all mandates entrusted to the subprogramme.</w:t>
      </w:r>
    </w:p>
    <w:p w14:paraId="195BDED9"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480D9A9" w14:textId="77777777" w:rsidR="0016696A" w:rsidRPr="00B10D24" w:rsidRDefault="0016696A" w:rsidP="0016696A">
      <w:pPr>
        <w:pStyle w:val="H4"/>
        <w:ind w:right="1260"/>
      </w:pPr>
      <w:r w:rsidRPr="00B10D24">
        <w:t>General Assembly resolutions</w:t>
      </w:r>
    </w:p>
    <w:p w14:paraId="1FB5E069" w14:textId="3C17538C" w:rsidR="0016696A" w:rsidRPr="0016696A" w:rsidRDefault="0016696A" w:rsidP="0016696A">
      <w:pPr>
        <w:pStyle w:val="SingleTxt"/>
        <w:spacing w:after="0" w:line="120" w:lineRule="exact"/>
        <w:rPr>
          <w:sz w:val="10"/>
        </w:rPr>
      </w:pPr>
    </w:p>
    <w:p w14:paraId="65ECE4D8" w14:textId="4C141B25" w:rsidR="0016696A" w:rsidRPr="0016696A" w:rsidRDefault="0016696A" w:rsidP="0016696A">
      <w:pPr>
        <w:pStyle w:val="SingleTxt"/>
        <w:spacing w:after="0" w:line="240" w:lineRule="auto"/>
        <w:rPr>
          <w:sz w:val="2"/>
        </w:rPr>
      </w:pPr>
    </w:p>
    <w:p w14:paraId="6252394A" w14:textId="77777777" w:rsidR="0016696A" w:rsidRPr="0016696A" w:rsidRDefault="0016696A" w:rsidP="0016696A">
      <w:pPr>
        <w:pStyle w:val="SingleTxt"/>
        <w:spacing w:after="0" w:line="240" w:lineRule="auto"/>
        <w:rPr>
          <w:sz w:val="2"/>
        </w:rPr>
        <w:sectPr w:rsidR="0016696A" w:rsidRPr="0016696A" w:rsidSect="0016696A">
          <w:endnotePr>
            <w:numFmt w:val="decimal"/>
          </w:endnotePr>
          <w:type w:val="continuous"/>
          <w:pgSz w:w="12240" w:h="15840"/>
          <w:pgMar w:top="1440" w:right="1195" w:bottom="1152" w:left="1195" w:header="432" w:footer="504" w:gutter="0"/>
          <w:cols w:space="720"/>
          <w:noEndnote/>
          <w:docGrid w:linePitch="360"/>
        </w:sectPr>
      </w:pPr>
    </w:p>
    <w:tbl>
      <w:tblPr>
        <w:tblW w:w="5000" w:type="pct"/>
        <w:tblCellMar>
          <w:left w:w="0" w:type="dxa"/>
          <w:right w:w="0" w:type="dxa"/>
        </w:tblCellMar>
        <w:tblLook w:val="0000" w:firstRow="0" w:lastRow="0" w:firstColumn="0" w:lastColumn="0" w:noHBand="0" w:noVBand="0"/>
      </w:tblPr>
      <w:tblGrid>
        <w:gridCol w:w="1260"/>
        <w:gridCol w:w="3545"/>
      </w:tblGrid>
      <w:tr w:rsidR="0016696A" w:rsidRPr="0016696A" w14:paraId="483B77DE" w14:textId="77777777" w:rsidTr="00674BD1">
        <w:tc>
          <w:tcPr>
            <w:tcW w:w="1311" w:type="pct"/>
            <w:shd w:val="clear" w:color="auto" w:fill="auto"/>
          </w:tcPr>
          <w:p w14:paraId="79856161" w14:textId="69CE0D4F" w:rsidR="0016696A" w:rsidRPr="0016696A" w:rsidRDefault="0078207D" w:rsidP="0016696A">
            <w:pPr>
              <w:tabs>
                <w:tab w:val="left" w:pos="288"/>
                <w:tab w:val="left" w:pos="576"/>
                <w:tab w:val="left" w:pos="864"/>
                <w:tab w:val="left" w:pos="1152"/>
              </w:tabs>
              <w:spacing w:before="40" w:after="40" w:line="200" w:lineRule="exact"/>
              <w:ind w:right="43"/>
              <w:rPr>
                <w:rStyle w:val="Hyperlink"/>
                <w:sz w:val="17"/>
                <w:szCs w:val="17"/>
              </w:rPr>
            </w:pPr>
            <w:hyperlink r:id="rId63" w:history="1">
              <w:r w:rsidR="0016696A" w:rsidRPr="0016696A">
                <w:rPr>
                  <w:rStyle w:val="Hyperlink"/>
                  <w:sz w:val="17"/>
                  <w:szCs w:val="17"/>
                </w:rPr>
                <w:t>63/217</w:t>
              </w:r>
            </w:hyperlink>
          </w:p>
        </w:tc>
        <w:tc>
          <w:tcPr>
            <w:tcW w:w="3689" w:type="pct"/>
            <w:shd w:val="clear" w:color="auto" w:fill="auto"/>
          </w:tcPr>
          <w:p w14:paraId="0CF5AEB1"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Natural disasters and vulnerability</w:t>
            </w:r>
          </w:p>
        </w:tc>
      </w:tr>
      <w:tr w:rsidR="0016696A" w:rsidRPr="0016696A" w14:paraId="07E0B864" w14:textId="77777777" w:rsidTr="00674BD1">
        <w:tc>
          <w:tcPr>
            <w:tcW w:w="1311" w:type="pct"/>
            <w:shd w:val="clear" w:color="auto" w:fill="auto"/>
          </w:tcPr>
          <w:p w14:paraId="2C726900" w14:textId="20E18A82" w:rsidR="0016696A" w:rsidRPr="0016696A" w:rsidRDefault="0078207D" w:rsidP="0016696A">
            <w:pPr>
              <w:tabs>
                <w:tab w:val="left" w:pos="288"/>
                <w:tab w:val="left" w:pos="576"/>
                <w:tab w:val="left" w:pos="864"/>
                <w:tab w:val="left" w:pos="1152"/>
              </w:tabs>
              <w:spacing w:before="40" w:after="40" w:line="200" w:lineRule="exact"/>
              <w:ind w:right="43"/>
              <w:rPr>
                <w:rStyle w:val="Hyperlink"/>
                <w:sz w:val="17"/>
                <w:szCs w:val="17"/>
              </w:rPr>
            </w:pPr>
            <w:hyperlink r:id="rId64" w:history="1">
              <w:r w:rsidR="0016696A" w:rsidRPr="0016696A">
                <w:rPr>
                  <w:rStyle w:val="Hyperlink"/>
                  <w:sz w:val="17"/>
                  <w:szCs w:val="17"/>
                </w:rPr>
                <w:t>67/263</w:t>
              </w:r>
            </w:hyperlink>
          </w:p>
        </w:tc>
        <w:tc>
          <w:tcPr>
            <w:tcW w:w="3689" w:type="pct"/>
            <w:shd w:val="clear" w:color="auto" w:fill="auto"/>
          </w:tcPr>
          <w:p w14:paraId="3C32E750"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Reliable and stable transit of energy and its role in ensuring sustainable development and international cooperation</w:t>
            </w:r>
          </w:p>
        </w:tc>
      </w:tr>
      <w:tr w:rsidR="0016696A" w:rsidRPr="0016696A" w14:paraId="1796B35D" w14:textId="77777777" w:rsidTr="00674BD1">
        <w:tc>
          <w:tcPr>
            <w:tcW w:w="1311" w:type="pct"/>
            <w:shd w:val="clear" w:color="auto" w:fill="auto"/>
          </w:tcPr>
          <w:p w14:paraId="530E7D03" w14:textId="078B6BE8" w:rsidR="0016696A" w:rsidRPr="0016696A" w:rsidRDefault="0078207D" w:rsidP="0016696A">
            <w:pPr>
              <w:tabs>
                <w:tab w:val="left" w:pos="288"/>
                <w:tab w:val="left" w:pos="576"/>
                <w:tab w:val="left" w:pos="864"/>
                <w:tab w:val="left" w:pos="1152"/>
              </w:tabs>
              <w:spacing w:before="40" w:after="40" w:line="200" w:lineRule="exact"/>
              <w:ind w:right="43"/>
              <w:rPr>
                <w:rStyle w:val="Hyperlink"/>
                <w:sz w:val="17"/>
                <w:szCs w:val="17"/>
              </w:rPr>
            </w:pPr>
            <w:hyperlink r:id="rId65" w:history="1">
              <w:r w:rsidR="0016696A" w:rsidRPr="0016696A">
                <w:rPr>
                  <w:rStyle w:val="Hyperlink"/>
                  <w:sz w:val="17"/>
                  <w:szCs w:val="17"/>
                </w:rPr>
                <w:t>69/225</w:t>
              </w:r>
            </w:hyperlink>
          </w:p>
        </w:tc>
        <w:tc>
          <w:tcPr>
            <w:tcW w:w="3689" w:type="pct"/>
            <w:shd w:val="clear" w:color="auto" w:fill="auto"/>
          </w:tcPr>
          <w:p w14:paraId="6DDECE21"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Promotion of new and renewable sources of energy</w:t>
            </w:r>
          </w:p>
        </w:tc>
      </w:tr>
      <w:tr w:rsidR="0016696A" w:rsidRPr="0016696A" w14:paraId="3E4FBE14" w14:textId="77777777" w:rsidTr="00674BD1">
        <w:tc>
          <w:tcPr>
            <w:tcW w:w="1311" w:type="pct"/>
            <w:shd w:val="clear" w:color="auto" w:fill="auto"/>
          </w:tcPr>
          <w:p w14:paraId="0B6BB581" w14:textId="0AB74C1F" w:rsidR="0016696A" w:rsidRPr="0016696A" w:rsidRDefault="0078207D" w:rsidP="0016696A">
            <w:pPr>
              <w:tabs>
                <w:tab w:val="left" w:pos="288"/>
                <w:tab w:val="left" w:pos="576"/>
                <w:tab w:val="left" w:pos="864"/>
                <w:tab w:val="left" w:pos="1152"/>
              </w:tabs>
              <w:spacing w:before="40" w:after="40" w:line="200" w:lineRule="exact"/>
              <w:ind w:right="43"/>
              <w:rPr>
                <w:sz w:val="17"/>
                <w:szCs w:val="17"/>
              </w:rPr>
            </w:pPr>
            <w:hyperlink r:id="rId66" w:history="1">
              <w:r w:rsidR="0016696A" w:rsidRPr="0016696A">
                <w:rPr>
                  <w:rStyle w:val="Hyperlink"/>
                  <w:sz w:val="17"/>
                  <w:szCs w:val="17"/>
                </w:rPr>
                <w:t>73/228</w:t>
              </w:r>
            </w:hyperlink>
          </w:p>
        </w:tc>
        <w:tc>
          <w:tcPr>
            <w:tcW w:w="3689" w:type="pct"/>
            <w:shd w:val="clear" w:color="auto" w:fill="auto"/>
          </w:tcPr>
          <w:p w14:paraId="3E1ECA9D"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Follow-up to and implementation of the SIDS Accelerated Modalities of Action (SAMOA) Pathway and the Mauritius Strategy for the Further Implementation of the Programme of Action for the Sustainable Development of Small Island Developing States</w:t>
            </w:r>
          </w:p>
        </w:tc>
      </w:tr>
      <w:tr w:rsidR="0016696A" w:rsidRPr="0016696A" w14:paraId="2986FD00" w14:textId="77777777" w:rsidTr="00674BD1">
        <w:tc>
          <w:tcPr>
            <w:tcW w:w="1311" w:type="pct"/>
            <w:shd w:val="clear" w:color="auto" w:fill="auto"/>
          </w:tcPr>
          <w:p w14:paraId="143BE554" w14:textId="34EFF484" w:rsidR="0016696A" w:rsidRPr="0016696A" w:rsidRDefault="0078207D" w:rsidP="0016696A">
            <w:pPr>
              <w:tabs>
                <w:tab w:val="left" w:pos="288"/>
                <w:tab w:val="left" w:pos="576"/>
                <w:tab w:val="left" w:pos="864"/>
                <w:tab w:val="left" w:pos="1152"/>
              </w:tabs>
              <w:spacing w:before="40" w:after="40" w:line="200" w:lineRule="exact"/>
              <w:ind w:right="43"/>
              <w:rPr>
                <w:rStyle w:val="Hyperlink"/>
                <w:sz w:val="17"/>
                <w:szCs w:val="17"/>
              </w:rPr>
            </w:pPr>
            <w:hyperlink r:id="rId67" w:history="1">
              <w:r w:rsidR="0016696A" w:rsidRPr="0016696A">
                <w:rPr>
                  <w:rStyle w:val="Hyperlink"/>
                  <w:sz w:val="17"/>
                  <w:szCs w:val="17"/>
                </w:rPr>
                <w:t>74/219</w:t>
              </w:r>
            </w:hyperlink>
          </w:p>
        </w:tc>
        <w:tc>
          <w:tcPr>
            <w:tcW w:w="3689" w:type="pct"/>
            <w:shd w:val="clear" w:color="auto" w:fill="auto"/>
          </w:tcPr>
          <w:p w14:paraId="58D975BF"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Protection of global climate for present and future generations of humankind</w:t>
            </w:r>
          </w:p>
        </w:tc>
      </w:tr>
      <w:tr w:rsidR="0016696A" w:rsidRPr="0016696A" w14:paraId="0923063D" w14:textId="77777777" w:rsidTr="00674BD1">
        <w:tc>
          <w:tcPr>
            <w:tcW w:w="1311" w:type="pct"/>
            <w:shd w:val="clear" w:color="auto" w:fill="auto"/>
          </w:tcPr>
          <w:p w14:paraId="3AA4AFF5" w14:textId="748428B8" w:rsidR="0016696A" w:rsidRPr="0016696A" w:rsidRDefault="0078207D" w:rsidP="0016696A">
            <w:pPr>
              <w:tabs>
                <w:tab w:val="left" w:pos="288"/>
                <w:tab w:val="left" w:pos="576"/>
                <w:tab w:val="left" w:pos="864"/>
                <w:tab w:val="left" w:pos="1152"/>
              </w:tabs>
              <w:spacing w:before="40" w:after="40" w:line="200" w:lineRule="exact"/>
              <w:ind w:right="43"/>
              <w:rPr>
                <w:rStyle w:val="Hyperlink"/>
                <w:sz w:val="17"/>
                <w:szCs w:val="17"/>
              </w:rPr>
            </w:pPr>
            <w:hyperlink r:id="rId68" w:history="1">
              <w:r w:rsidR="0016696A" w:rsidRPr="0016696A">
                <w:rPr>
                  <w:rStyle w:val="Hyperlink"/>
                  <w:sz w:val="17"/>
                  <w:szCs w:val="17"/>
                </w:rPr>
                <w:t>75/216</w:t>
              </w:r>
            </w:hyperlink>
          </w:p>
        </w:tc>
        <w:tc>
          <w:tcPr>
            <w:tcW w:w="3689" w:type="pct"/>
            <w:shd w:val="clear" w:color="auto" w:fill="auto"/>
          </w:tcPr>
          <w:p w14:paraId="5AFF245E"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Disaster risk reduction</w:t>
            </w:r>
          </w:p>
        </w:tc>
      </w:tr>
      <w:tr w:rsidR="0016696A" w:rsidRPr="0016696A" w14:paraId="67725D9F" w14:textId="77777777" w:rsidTr="00674BD1">
        <w:tc>
          <w:tcPr>
            <w:tcW w:w="1311" w:type="pct"/>
            <w:shd w:val="clear" w:color="auto" w:fill="auto"/>
          </w:tcPr>
          <w:p w14:paraId="1FB30EB4" w14:textId="0D1B009A" w:rsidR="0016696A" w:rsidRPr="0016696A" w:rsidRDefault="0078207D" w:rsidP="0016696A">
            <w:pPr>
              <w:tabs>
                <w:tab w:val="left" w:pos="288"/>
                <w:tab w:val="left" w:pos="576"/>
                <w:tab w:val="left" w:pos="864"/>
                <w:tab w:val="left" w:pos="1152"/>
              </w:tabs>
              <w:spacing w:before="40" w:after="40" w:line="200" w:lineRule="exact"/>
              <w:ind w:right="43"/>
              <w:rPr>
                <w:rStyle w:val="Hyperlink"/>
                <w:sz w:val="17"/>
                <w:szCs w:val="17"/>
              </w:rPr>
            </w:pPr>
            <w:hyperlink r:id="rId69" w:history="1">
              <w:r w:rsidR="0016696A" w:rsidRPr="0016696A">
                <w:rPr>
                  <w:rStyle w:val="Hyperlink"/>
                  <w:sz w:val="17"/>
                  <w:szCs w:val="17"/>
                </w:rPr>
                <w:t>75/218</w:t>
              </w:r>
            </w:hyperlink>
          </w:p>
        </w:tc>
        <w:tc>
          <w:tcPr>
            <w:tcW w:w="3689" w:type="pct"/>
            <w:shd w:val="clear" w:color="auto" w:fill="auto"/>
          </w:tcPr>
          <w:p w14:paraId="3347E03D"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Implementation of the United Nations Convention to Combat Desertification in Those Countries Experiencing Serious Drought and/or Desertification, Particularly in Africa</w:t>
            </w:r>
          </w:p>
        </w:tc>
      </w:tr>
      <w:tr w:rsidR="0016696A" w:rsidRPr="0016696A" w14:paraId="1E5B8097" w14:textId="77777777" w:rsidTr="00674BD1">
        <w:tc>
          <w:tcPr>
            <w:tcW w:w="1311" w:type="pct"/>
            <w:shd w:val="clear" w:color="auto" w:fill="auto"/>
          </w:tcPr>
          <w:p w14:paraId="297E9852" w14:textId="5FF2BAD5" w:rsidR="0016696A" w:rsidRPr="0016696A" w:rsidRDefault="0078207D" w:rsidP="0016696A">
            <w:pPr>
              <w:tabs>
                <w:tab w:val="left" w:pos="288"/>
                <w:tab w:val="left" w:pos="576"/>
                <w:tab w:val="left" w:pos="864"/>
                <w:tab w:val="left" w:pos="1152"/>
              </w:tabs>
              <w:spacing w:before="40" w:after="40" w:line="200" w:lineRule="exact"/>
              <w:ind w:right="43"/>
              <w:rPr>
                <w:rStyle w:val="Hyperlink"/>
                <w:sz w:val="17"/>
                <w:szCs w:val="17"/>
              </w:rPr>
            </w:pPr>
            <w:hyperlink r:id="rId70" w:history="1">
              <w:r w:rsidR="0016696A" w:rsidRPr="0016696A">
                <w:rPr>
                  <w:rStyle w:val="Hyperlink"/>
                  <w:sz w:val="17"/>
                  <w:szCs w:val="17"/>
                </w:rPr>
                <w:t>75/219</w:t>
              </w:r>
            </w:hyperlink>
          </w:p>
        </w:tc>
        <w:tc>
          <w:tcPr>
            <w:tcW w:w="3689" w:type="pct"/>
            <w:shd w:val="clear" w:color="auto" w:fill="auto"/>
          </w:tcPr>
          <w:p w14:paraId="78A6496B"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Implementation of the Convention on Biological Diversity and its contribution to sustainable development</w:t>
            </w:r>
          </w:p>
        </w:tc>
      </w:tr>
    </w:tbl>
    <w:p w14:paraId="2D51D2FF" w14:textId="77777777" w:rsidR="0016696A" w:rsidRPr="0016696A" w:rsidRDefault="0016696A" w:rsidP="0016696A">
      <w:pPr>
        <w:spacing w:line="240" w:lineRule="auto"/>
        <w:rPr>
          <w:sz w:val="2"/>
        </w:rPr>
        <w:sectPr w:rsidR="0016696A" w:rsidRPr="0016696A" w:rsidSect="0016696A">
          <w:endnotePr>
            <w:numFmt w:val="decimal"/>
          </w:endnotePr>
          <w:type w:val="continuous"/>
          <w:pgSz w:w="12240" w:h="15840"/>
          <w:pgMar w:top="1440" w:right="1195" w:bottom="1152" w:left="1195" w:header="432" w:footer="504" w:gutter="0"/>
          <w:cols w:num="2" w:space="240"/>
          <w:noEndnote/>
          <w:docGrid w:linePitch="360"/>
        </w:sectPr>
      </w:pPr>
    </w:p>
    <w:p w14:paraId="23101C2E" w14:textId="77777777" w:rsidR="0016696A" w:rsidRPr="00B10D24" w:rsidRDefault="0016696A" w:rsidP="0016696A">
      <w:pPr>
        <w:pStyle w:val="SingleTxt"/>
        <w:spacing w:after="0" w:line="120" w:lineRule="exact"/>
        <w:rPr>
          <w:sz w:val="10"/>
        </w:rPr>
      </w:pPr>
    </w:p>
    <w:p w14:paraId="3C15D100" w14:textId="77777777" w:rsidR="0016696A" w:rsidRPr="00B10D24" w:rsidRDefault="0016696A" w:rsidP="0016696A">
      <w:pPr>
        <w:pStyle w:val="H4"/>
        <w:ind w:right="1260"/>
      </w:pPr>
      <w:r w:rsidRPr="00B10D24">
        <w:t>Governing Council resolutions</w:t>
      </w:r>
    </w:p>
    <w:p w14:paraId="37E17F35" w14:textId="2B692336" w:rsidR="0016696A" w:rsidRPr="0016696A" w:rsidRDefault="0016696A" w:rsidP="0016696A">
      <w:pPr>
        <w:pStyle w:val="SingleTxt"/>
        <w:spacing w:after="0" w:line="120" w:lineRule="exact"/>
        <w:rPr>
          <w:sz w:val="10"/>
        </w:rPr>
      </w:pPr>
    </w:p>
    <w:p w14:paraId="7B78A5FB" w14:textId="5E848671" w:rsidR="0016696A" w:rsidRPr="0016696A" w:rsidRDefault="0016696A" w:rsidP="0016696A">
      <w:pPr>
        <w:pStyle w:val="SingleTxt"/>
        <w:spacing w:after="0" w:line="240" w:lineRule="auto"/>
        <w:rPr>
          <w:sz w:val="2"/>
        </w:rPr>
      </w:pPr>
    </w:p>
    <w:p w14:paraId="4E478FEE" w14:textId="77777777" w:rsidR="0016696A" w:rsidRPr="0016696A" w:rsidRDefault="0016696A" w:rsidP="0016696A">
      <w:pPr>
        <w:pStyle w:val="SingleTxt"/>
        <w:spacing w:after="0" w:line="240" w:lineRule="auto"/>
        <w:rPr>
          <w:sz w:val="2"/>
        </w:rPr>
        <w:sectPr w:rsidR="0016696A" w:rsidRPr="0016696A" w:rsidSect="0016696A">
          <w:endnotePr>
            <w:numFmt w:val="decimal"/>
          </w:endnotePr>
          <w:type w:val="continuous"/>
          <w:pgSz w:w="12240" w:h="15840"/>
          <w:pgMar w:top="1440" w:right="1195" w:bottom="1152" w:left="1195" w:header="432" w:footer="504" w:gutter="0"/>
          <w:cols w:space="720"/>
          <w:noEndnote/>
          <w:docGrid w:linePitch="360"/>
        </w:sectPr>
      </w:pPr>
    </w:p>
    <w:tbl>
      <w:tblPr>
        <w:tblW w:w="5000" w:type="pct"/>
        <w:tblCellMar>
          <w:left w:w="0" w:type="dxa"/>
          <w:right w:w="0" w:type="dxa"/>
        </w:tblCellMar>
        <w:tblLook w:val="0000" w:firstRow="0" w:lastRow="0" w:firstColumn="0" w:lastColumn="0" w:noHBand="0" w:noVBand="0"/>
      </w:tblPr>
      <w:tblGrid>
        <w:gridCol w:w="1260"/>
        <w:gridCol w:w="3545"/>
      </w:tblGrid>
      <w:tr w:rsidR="0016696A" w:rsidRPr="0016696A" w14:paraId="17B4D7A5" w14:textId="77777777" w:rsidTr="00674BD1">
        <w:tc>
          <w:tcPr>
            <w:tcW w:w="1311" w:type="pct"/>
            <w:shd w:val="clear" w:color="auto" w:fill="auto"/>
          </w:tcPr>
          <w:p w14:paraId="2C905C02" w14:textId="77777777" w:rsidR="0016696A" w:rsidRPr="0016696A" w:rsidRDefault="0016696A" w:rsidP="0016696A">
            <w:pPr>
              <w:tabs>
                <w:tab w:val="left" w:pos="288"/>
                <w:tab w:val="left" w:pos="576"/>
                <w:tab w:val="left" w:pos="864"/>
                <w:tab w:val="left" w:pos="1152"/>
              </w:tabs>
              <w:spacing w:before="40" w:after="40" w:line="200" w:lineRule="exact"/>
              <w:ind w:right="43"/>
              <w:rPr>
                <w:sz w:val="17"/>
                <w:szCs w:val="17"/>
              </w:rPr>
            </w:pPr>
            <w:r w:rsidRPr="0016696A">
              <w:rPr>
                <w:sz w:val="17"/>
                <w:szCs w:val="17"/>
              </w:rPr>
              <w:t>19/4</w:t>
            </w:r>
          </w:p>
        </w:tc>
        <w:tc>
          <w:tcPr>
            <w:tcW w:w="3689" w:type="pct"/>
            <w:shd w:val="clear" w:color="auto" w:fill="auto"/>
          </w:tcPr>
          <w:p w14:paraId="392691D1"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Cooperation between the United Nations Human Settlements Programme and the United Nations Environment Programme</w:t>
            </w:r>
          </w:p>
        </w:tc>
      </w:tr>
      <w:tr w:rsidR="0016696A" w:rsidRPr="0016696A" w14:paraId="3E21E463" w14:textId="77777777" w:rsidTr="00674BD1">
        <w:tc>
          <w:tcPr>
            <w:tcW w:w="1311" w:type="pct"/>
            <w:shd w:val="clear" w:color="auto" w:fill="auto"/>
          </w:tcPr>
          <w:p w14:paraId="0FC18AD1" w14:textId="77777777" w:rsidR="0016696A" w:rsidRPr="0016696A" w:rsidRDefault="0016696A" w:rsidP="0016696A">
            <w:pPr>
              <w:tabs>
                <w:tab w:val="left" w:pos="288"/>
                <w:tab w:val="left" w:pos="576"/>
                <w:tab w:val="left" w:pos="864"/>
                <w:tab w:val="left" w:pos="1152"/>
              </w:tabs>
              <w:spacing w:before="40" w:after="40" w:line="200" w:lineRule="exact"/>
              <w:ind w:right="43"/>
              <w:rPr>
                <w:sz w:val="17"/>
                <w:szCs w:val="17"/>
              </w:rPr>
            </w:pPr>
            <w:r w:rsidRPr="0016696A">
              <w:rPr>
                <w:sz w:val="17"/>
                <w:szCs w:val="17"/>
              </w:rPr>
              <w:t>22/3</w:t>
            </w:r>
          </w:p>
        </w:tc>
        <w:tc>
          <w:tcPr>
            <w:tcW w:w="3689" w:type="pct"/>
            <w:shd w:val="clear" w:color="auto" w:fill="auto"/>
          </w:tcPr>
          <w:p w14:paraId="0EF73E68" w14:textId="77777777" w:rsidR="0016696A" w:rsidRPr="0016696A" w:rsidRDefault="0016696A" w:rsidP="0016696A">
            <w:pPr>
              <w:tabs>
                <w:tab w:val="left" w:pos="288"/>
                <w:tab w:val="left" w:pos="576"/>
                <w:tab w:val="left" w:pos="864"/>
                <w:tab w:val="left" w:pos="1152"/>
              </w:tabs>
              <w:spacing w:before="40" w:after="40" w:line="200" w:lineRule="exact"/>
              <w:ind w:left="86" w:right="43"/>
              <w:rPr>
                <w:sz w:val="17"/>
                <w:szCs w:val="17"/>
              </w:rPr>
            </w:pPr>
            <w:r w:rsidRPr="0016696A">
              <w:rPr>
                <w:sz w:val="17"/>
                <w:szCs w:val="17"/>
              </w:rPr>
              <w:t>Cities and climate change</w:t>
            </w:r>
          </w:p>
        </w:tc>
      </w:tr>
    </w:tbl>
    <w:p w14:paraId="7ABF4FC9" w14:textId="77777777" w:rsidR="0016696A" w:rsidRPr="0016696A" w:rsidRDefault="0016696A" w:rsidP="0016696A">
      <w:pPr>
        <w:spacing w:line="240" w:lineRule="auto"/>
        <w:rPr>
          <w:sz w:val="2"/>
        </w:rPr>
        <w:sectPr w:rsidR="0016696A" w:rsidRPr="0016696A" w:rsidSect="0016696A">
          <w:endnotePr>
            <w:numFmt w:val="decimal"/>
          </w:endnotePr>
          <w:type w:val="continuous"/>
          <w:pgSz w:w="12240" w:h="15840"/>
          <w:pgMar w:top="1440" w:right="1195" w:bottom="1152" w:left="1195" w:header="432" w:footer="504" w:gutter="0"/>
          <w:cols w:num="2" w:space="240"/>
          <w:noEndnote/>
          <w:docGrid w:linePitch="360"/>
        </w:sectPr>
      </w:pPr>
    </w:p>
    <w:p w14:paraId="1D268B6C" w14:textId="1864C077" w:rsidR="0016696A" w:rsidRPr="0016696A" w:rsidRDefault="0016696A" w:rsidP="0016696A">
      <w:pPr>
        <w:pStyle w:val="SingleTxt"/>
        <w:spacing w:after="0" w:line="120" w:lineRule="exact"/>
        <w:rPr>
          <w:sz w:val="10"/>
        </w:rPr>
      </w:pPr>
    </w:p>
    <w:p w14:paraId="6C38652D" w14:textId="7EE98017" w:rsidR="0016696A" w:rsidRDefault="0016696A" w:rsidP="0016696A">
      <w:pPr>
        <w:pStyle w:val="SingleTxt"/>
        <w:spacing w:after="0" w:line="120" w:lineRule="exact"/>
        <w:rPr>
          <w:sz w:val="10"/>
        </w:rPr>
      </w:pPr>
    </w:p>
    <w:p w14:paraId="5EE3DD47" w14:textId="77777777" w:rsidR="00674BD1" w:rsidRPr="0016696A" w:rsidRDefault="00674BD1" w:rsidP="0016696A">
      <w:pPr>
        <w:pStyle w:val="SingleTxt"/>
        <w:spacing w:after="0" w:line="120" w:lineRule="exact"/>
        <w:rPr>
          <w:sz w:val="10"/>
        </w:rPr>
      </w:pPr>
    </w:p>
    <w:p w14:paraId="301CECD4" w14:textId="77777777" w:rsidR="0016696A" w:rsidRPr="00B10D24" w:rsidRDefault="0016696A" w:rsidP="0016696A">
      <w:pPr>
        <w:pStyle w:val="H1"/>
        <w:ind w:right="1260"/>
      </w:pPr>
      <w:r w:rsidRPr="00B10D24">
        <w:lastRenderedPageBreak/>
        <w:tab/>
      </w:r>
      <w:r w:rsidRPr="00B10D24">
        <w:tab/>
        <w:t>Deliverables</w:t>
      </w:r>
    </w:p>
    <w:p w14:paraId="60B64F17"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D050989"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54BA0FD"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15.103</w:t>
      </w:r>
      <w:r w:rsidRPr="00B10D24">
        <w:tab/>
        <w:t>Table 15.7 lists all deliverables, by category and subcategory, for the period 2020–2022 that contributed and are expected to contribute to the attainment of the objective stated.</w:t>
      </w:r>
    </w:p>
    <w:p w14:paraId="516BEA0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3FE838F"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t>Table 15.7</w:t>
      </w:r>
    </w:p>
    <w:p w14:paraId="4609DD71"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 xml:space="preserve">Subprogramme 3: deliverables for the period 2020–2022, by category and subcategory </w:t>
      </w:r>
    </w:p>
    <w:p w14:paraId="0380FF63"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6D22973"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300"/>
        <w:gridCol w:w="887"/>
        <w:gridCol w:w="888"/>
        <w:gridCol w:w="887"/>
        <w:gridCol w:w="888"/>
      </w:tblGrid>
      <w:tr w:rsidR="0016696A" w:rsidRPr="00B10D24" w14:paraId="01EC291B" w14:textId="77777777" w:rsidTr="00206464">
        <w:trPr>
          <w:tblHeader/>
        </w:trPr>
        <w:tc>
          <w:tcPr>
            <w:tcW w:w="6300" w:type="dxa"/>
            <w:tcBorders>
              <w:top w:val="single" w:sz="4" w:space="0" w:color="auto"/>
              <w:bottom w:val="single" w:sz="12" w:space="0" w:color="auto"/>
            </w:tcBorders>
            <w:shd w:val="clear" w:color="auto" w:fill="auto"/>
            <w:vAlign w:val="bottom"/>
          </w:tcPr>
          <w:p w14:paraId="478CC1E5" w14:textId="77777777" w:rsidR="0016696A" w:rsidRPr="00B10D24" w:rsidRDefault="0016696A" w:rsidP="00206464">
            <w:pPr>
              <w:spacing w:before="81" w:after="81" w:line="160" w:lineRule="exact"/>
              <w:ind w:right="40"/>
              <w:rPr>
                <w:i/>
                <w:sz w:val="14"/>
                <w:lang w:val="en-GB"/>
              </w:rPr>
            </w:pPr>
            <w:r w:rsidRPr="00B10D24">
              <w:rPr>
                <w:i/>
                <w:sz w:val="14"/>
                <w:lang w:val="en-GB"/>
              </w:rPr>
              <w:t>Category and subcategory</w:t>
            </w:r>
          </w:p>
        </w:tc>
        <w:tc>
          <w:tcPr>
            <w:tcW w:w="887" w:type="dxa"/>
            <w:tcBorders>
              <w:top w:val="single" w:sz="4" w:space="0" w:color="auto"/>
              <w:bottom w:val="single" w:sz="12" w:space="0" w:color="auto"/>
            </w:tcBorders>
            <w:shd w:val="clear" w:color="auto" w:fill="auto"/>
            <w:vAlign w:val="bottom"/>
          </w:tcPr>
          <w:p w14:paraId="7DF752F7" w14:textId="77777777" w:rsidR="0016696A" w:rsidRPr="00B10D24" w:rsidRDefault="0016696A" w:rsidP="00206464">
            <w:pPr>
              <w:spacing w:before="81" w:after="81" w:line="160" w:lineRule="exact"/>
              <w:ind w:left="144" w:right="40"/>
              <w:jc w:val="right"/>
              <w:rPr>
                <w:i/>
                <w:sz w:val="14"/>
                <w:lang w:val="en-GB"/>
              </w:rPr>
            </w:pPr>
            <w:r w:rsidRPr="00B10D24">
              <w:rPr>
                <w:i/>
                <w:sz w:val="14"/>
                <w:lang w:val="en-GB"/>
              </w:rPr>
              <w:t>2020 planned</w:t>
            </w:r>
          </w:p>
        </w:tc>
        <w:tc>
          <w:tcPr>
            <w:tcW w:w="888" w:type="dxa"/>
            <w:tcBorders>
              <w:top w:val="single" w:sz="4" w:space="0" w:color="auto"/>
              <w:bottom w:val="single" w:sz="12" w:space="0" w:color="auto"/>
            </w:tcBorders>
            <w:shd w:val="clear" w:color="auto" w:fill="auto"/>
            <w:vAlign w:val="bottom"/>
          </w:tcPr>
          <w:p w14:paraId="1436D9B3" w14:textId="77777777" w:rsidR="0016696A" w:rsidRPr="00B10D24" w:rsidRDefault="0016696A" w:rsidP="00206464">
            <w:pPr>
              <w:spacing w:before="81" w:after="81" w:line="160" w:lineRule="exact"/>
              <w:ind w:left="144" w:right="40"/>
              <w:jc w:val="right"/>
              <w:rPr>
                <w:i/>
                <w:sz w:val="14"/>
                <w:lang w:val="en-GB"/>
              </w:rPr>
            </w:pPr>
            <w:r w:rsidRPr="00B10D24">
              <w:rPr>
                <w:i/>
                <w:sz w:val="14"/>
                <w:lang w:val="en-GB"/>
              </w:rPr>
              <w:t>2020 actual</w:t>
            </w:r>
          </w:p>
        </w:tc>
        <w:tc>
          <w:tcPr>
            <w:tcW w:w="887" w:type="dxa"/>
            <w:tcBorders>
              <w:top w:val="single" w:sz="4" w:space="0" w:color="auto"/>
              <w:bottom w:val="single" w:sz="12" w:space="0" w:color="auto"/>
            </w:tcBorders>
            <w:shd w:val="clear" w:color="auto" w:fill="auto"/>
            <w:vAlign w:val="bottom"/>
          </w:tcPr>
          <w:p w14:paraId="174A6732" w14:textId="77777777" w:rsidR="0016696A" w:rsidRPr="00B10D24" w:rsidRDefault="0016696A" w:rsidP="00206464">
            <w:pPr>
              <w:spacing w:before="81" w:after="81" w:line="160" w:lineRule="exact"/>
              <w:ind w:left="144" w:right="40"/>
              <w:jc w:val="right"/>
              <w:rPr>
                <w:i/>
                <w:sz w:val="14"/>
                <w:lang w:val="en-GB"/>
              </w:rPr>
            </w:pPr>
            <w:r w:rsidRPr="00B10D24">
              <w:rPr>
                <w:i/>
                <w:sz w:val="14"/>
                <w:lang w:val="en-GB"/>
              </w:rPr>
              <w:t>2021 planned</w:t>
            </w:r>
          </w:p>
        </w:tc>
        <w:tc>
          <w:tcPr>
            <w:tcW w:w="888" w:type="dxa"/>
            <w:tcBorders>
              <w:top w:val="single" w:sz="4" w:space="0" w:color="auto"/>
              <w:bottom w:val="single" w:sz="12" w:space="0" w:color="auto"/>
            </w:tcBorders>
            <w:shd w:val="clear" w:color="auto" w:fill="auto"/>
            <w:vAlign w:val="bottom"/>
          </w:tcPr>
          <w:p w14:paraId="1C65A15D" w14:textId="65E0017F" w:rsidR="0016696A" w:rsidRPr="00B10D24" w:rsidRDefault="0016696A" w:rsidP="00206464">
            <w:pPr>
              <w:spacing w:before="81" w:after="81" w:line="160" w:lineRule="exact"/>
              <w:ind w:left="144" w:right="40"/>
              <w:jc w:val="right"/>
              <w:rPr>
                <w:i/>
                <w:sz w:val="14"/>
                <w:lang w:val="en-GB"/>
              </w:rPr>
            </w:pPr>
            <w:r w:rsidRPr="00B10D24">
              <w:rPr>
                <w:i/>
                <w:sz w:val="14"/>
                <w:lang w:val="en-GB"/>
              </w:rPr>
              <w:t>2022 planned</w:t>
            </w:r>
            <w:r w:rsidR="00EB2D8C" w:rsidRPr="00EB2D8C">
              <w:rPr>
                <w:i/>
                <w:sz w:val="14"/>
                <w:vertAlign w:val="superscript"/>
                <w:lang w:val="en-GB"/>
              </w:rPr>
              <w:t>a</w:t>
            </w:r>
          </w:p>
        </w:tc>
      </w:tr>
      <w:tr w:rsidR="0016696A" w:rsidRPr="00B10D24" w14:paraId="0CFC5F44" w14:textId="77777777" w:rsidTr="00206464">
        <w:trPr>
          <w:trHeight w:hRule="exact" w:val="115"/>
          <w:tblHeader/>
        </w:trPr>
        <w:tc>
          <w:tcPr>
            <w:tcW w:w="6300" w:type="dxa"/>
            <w:tcBorders>
              <w:top w:val="single" w:sz="12" w:space="0" w:color="auto"/>
            </w:tcBorders>
            <w:shd w:val="clear" w:color="auto" w:fill="auto"/>
            <w:vAlign w:val="bottom"/>
          </w:tcPr>
          <w:p w14:paraId="5BF1ACC0" w14:textId="77777777" w:rsidR="0016696A" w:rsidRPr="00B10D24" w:rsidRDefault="0016696A" w:rsidP="00206464">
            <w:pPr>
              <w:spacing w:before="40" w:after="40" w:line="210" w:lineRule="exact"/>
              <w:ind w:right="40"/>
              <w:rPr>
                <w:sz w:val="17"/>
                <w:lang w:val="en-GB"/>
              </w:rPr>
            </w:pPr>
          </w:p>
        </w:tc>
        <w:tc>
          <w:tcPr>
            <w:tcW w:w="887" w:type="dxa"/>
            <w:tcBorders>
              <w:top w:val="single" w:sz="12" w:space="0" w:color="auto"/>
            </w:tcBorders>
            <w:shd w:val="clear" w:color="auto" w:fill="auto"/>
            <w:vAlign w:val="bottom"/>
          </w:tcPr>
          <w:p w14:paraId="617D2794" w14:textId="77777777" w:rsidR="0016696A" w:rsidRPr="00B10D24" w:rsidRDefault="0016696A" w:rsidP="00206464">
            <w:pPr>
              <w:spacing w:before="40" w:after="40" w:line="210" w:lineRule="exact"/>
              <w:ind w:left="144" w:right="40"/>
              <w:jc w:val="right"/>
              <w:rPr>
                <w:sz w:val="17"/>
                <w:lang w:val="en-GB"/>
              </w:rPr>
            </w:pPr>
          </w:p>
        </w:tc>
        <w:tc>
          <w:tcPr>
            <w:tcW w:w="888" w:type="dxa"/>
            <w:tcBorders>
              <w:top w:val="single" w:sz="12" w:space="0" w:color="auto"/>
            </w:tcBorders>
            <w:shd w:val="clear" w:color="auto" w:fill="auto"/>
            <w:vAlign w:val="bottom"/>
          </w:tcPr>
          <w:p w14:paraId="196443D7" w14:textId="77777777" w:rsidR="0016696A" w:rsidRPr="00B10D24" w:rsidRDefault="0016696A" w:rsidP="00206464">
            <w:pPr>
              <w:spacing w:before="40" w:after="40" w:line="210" w:lineRule="exact"/>
              <w:ind w:left="144" w:right="40"/>
              <w:jc w:val="right"/>
              <w:rPr>
                <w:sz w:val="17"/>
                <w:lang w:val="en-GB"/>
              </w:rPr>
            </w:pPr>
          </w:p>
        </w:tc>
        <w:tc>
          <w:tcPr>
            <w:tcW w:w="887" w:type="dxa"/>
            <w:tcBorders>
              <w:top w:val="single" w:sz="12" w:space="0" w:color="auto"/>
            </w:tcBorders>
            <w:shd w:val="clear" w:color="auto" w:fill="auto"/>
            <w:vAlign w:val="bottom"/>
          </w:tcPr>
          <w:p w14:paraId="368B583D" w14:textId="77777777" w:rsidR="0016696A" w:rsidRPr="00B10D24" w:rsidRDefault="0016696A" w:rsidP="00206464">
            <w:pPr>
              <w:spacing w:before="40" w:after="40" w:line="210" w:lineRule="exact"/>
              <w:ind w:left="144" w:right="40"/>
              <w:jc w:val="right"/>
              <w:rPr>
                <w:sz w:val="17"/>
                <w:lang w:val="en-GB"/>
              </w:rPr>
            </w:pPr>
          </w:p>
        </w:tc>
        <w:tc>
          <w:tcPr>
            <w:tcW w:w="888" w:type="dxa"/>
            <w:tcBorders>
              <w:top w:val="single" w:sz="12" w:space="0" w:color="auto"/>
            </w:tcBorders>
            <w:shd w:val="clear" w:color="auto" w:fill="auto"/>
            <w:vAlign w:val="bottom"/>
          </w:tcPr>
          <w:p w14:paraId="1AC4DA6E" w14:textId="77777777" w:rsidR="0016696A" w:rsidRPr="00B10D24" w:rsidRDefault="0016696A" w:rsidP="00206464">
            <w:pPr>
              <w:spacing w:before="40" w:after="40" w:line="210" w:lineRule="exact"/>
              <w:ind w:left="144" w:right="40"/>
              <w:jc w:val="right"/>
              <w:rPr>
                <w:sz w:val="17"/>
                <w:lang w:val="en-GB"/>
              </w:rPr>
            </w:pPr>
          </w:p>
        </w:tc>
      </w:tr>
      <w:tr w:rsidR="0016696A" w:rsidRPr="00B10D24" w14:paraId="6D7F8785" w14:textId="77777777" w:rsidTr="00206464">
        <w:tc>
          <w:tcPr>
            <w:tcW w:w="6300" w:type="dxa"/>
            <w:shd w:val="clear" w:color="auto" w:fill="auto"/>
            <w:vAlign w:val="bottom"/>
          </w:tcPr>
          <w:p w14:paraId="48DF7B1C" w14:textId="77777777" w:rsidR="0016696A" w:rsidRPr="00B10D24" w:rsidRDefault="0016696A" w:rsidP="00206464">
            <w:pPr>
              <w:tabs>
                <w:tab w:val="left" w:pos="288"/>
                <w:tab w:val="left" w:pos="576"/>
                <w:tab w:val="left" w:pos="864"/>
                <w:tab w:val="left" w:pos="1152"/>
              </w:tabs>
              <w:spacing w:before="40" w:after="40" w:line="210" w:lineRule="exact"/>
              <w:ind w:right="40"/>
              <w:rPr>
                <w:b/>
                <w:sz w:val="17"/>
                <w:lang w:val="en-GB"/>
              </w:rPr>
            </w:pPr>
            <w:r w:rsidRPr="00B10D24">
              <w:rPr>
                <w:b/>
                <w:sz w:val="17"/>
                <w:lang w:val="en-GB"/>
              </w:rPr>
              <w:t>B.</w:t>
            </w:r>
            <w:r w:rsidRPr="00B10D24">
              <w:rPr>
                <w:b/>
                <w:sz w:val="17"/>
                <w:lang w:val="en-GB"/>
              </w:rPr>
              <w:tab/>
              <w:t>Generation and transfer of knowledge</w:t>
            </w:r>
          </w:p>
        </w:tc>
        <w:tc>
          <w:tcPr>
            <w:tcW w:w="887" w:type="dxa"/>
            <w:shd w:val="clear" w:color="auto" w:fill="auto"/>
            <w:vAlign w:val="bottom"/>
          </w:tcPr>
          <w:p w14:paraId="4082BEFB"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p>
        </w:tc>
        <w:tc>
          <w:tcPr>
            <w:tcW w:w="888" w:type="dxa"/>
            <w:shd w:val="clear" w:color="auto" w:fill="auto"/>
            <w:vAlign w:val="bottom"/>
          </w:tcPr>
          <w:p w14:paraId="72E58CE8"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p>
        </w:tc>
        <w:tc>
          <w:tcPr>
            <w:tcW w:w="887" w:type="dxa"/>
            <w:shd w:val="clear" w:color="auto" w:fill="auto"/>
            <w:vAlign w:val="bottom"/>
          </w:tcPr>
          <w:p w14:paraId="6B5B856F"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p>
        </w:tc>
        <w:tc>
          <w:tcPr>
            <w:tcW w:w="888" w:type="dxa"/>
            <w:shd w:val="clear" w:color="auto" w:fill="auto"/>
            <w:vAlign w:val="bottom"/>
          </w:tcPr>
          <w:p w14:paraId="311AD58E"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p>
        </w:tc>
      </w:tr>
      <w:tr w:rsidR="0016696A" w:rsidRPr="00B10D24" w14:paraId="54A50E21" w14:textId="77777777" w:rsidTr="00206464">
        <w:tc>
          <w:tcPr>
            <w:tcW w:w="6300" w:type="dxa"/>
            <w:shd w:val="clear" w:color="auto" w:fill="auto"/>
            <w:vAlign w:val="bottom"/>
          </w:tcPr>
          <w:p w14:paraId="507ED87A" w14:textId="77777777" w:rsidR="0016696A" w:rsidRPr="00B10D24" w:rsidRDefault="0016696A" w:rsidP="00206464">
            <w:pPr>
              <w:tabs>
                <w:tab w:val="left" w:pos="288"/>
                <w:tab w:val="left" w:pos="576"/>
                <w:tab w:val="left" w:pos="864"/>
                <w:tab w:val="left" w:pos="1152"/>
              </w:tabs>
              <w:spacing w:before="40" w:after="40" w:line="210" w:lineRule="exact"/>
              <w:ind w:right="40"/>
              <w:rPr>
                <w:sz w:val="17"/>
                <w:lang w:val="en-GB"/>
              </w:rPr>
            </w:pPr>
            <w:r w:rsidRPr="00B10D24">
              <w:rPr>
                <w:b/>
                <w:sz w:val="17"/>
                <w:lang w:val="en-GB"/>
              </w:rPr>
              <w:tab/>
              <w:t>Field and technical cooperation projects</w:t>
            </w:r>
            <w:r w:rsidRPr="00B10D24">
              <w:rPr>
                <w:sz w:val="17"/>
                <w:lang w:val="en-GB"/>
              </w:rPr>
              <w:t xml:space="preserve"> (number of projects)</w:t>
            </w:r>
          </w:p>
        </w:tc>
        <w:tc>
          <w:tcPr>
            <w:tcW w:w="887" w:type="dxa"/>
            <w:shd w:val="clear" w:color="auto" w:fill="auto"/>
            <w:vAlign w:val="bottom"/>
          </w:tcPr>
          <w:p w14:paraId="2D438E2C"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28</w:t>
            </w:r>
          </w:p>
        </w:tc>
        <w:tc>
          <w:tcPr>
            <w:tcW w:w="888" w:type="dxa"/>
            <w:shd w:val="clear" w:color="auto" w:fill="auto"/>
            <w:vAlign w:val="bottom"/>
          </w:tcPr>
          <w:p w14:paraId="13B1FD43"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24</w:t>
            </w:r>
          </w:p>
        </w:tc>
        <w:tc>
          <w:tcPr>
            <w:tcW w:w="887" w:type="dxa"/>
            <w:shd w:val="clear" w:color="auto" w:fill="auto"/>
            <w:vAlign w:val="bottom"/>
          </w:tcPr>
          <w:p w14:paraId="2E4DAD8F"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color w:val="000000" w:themeColor="text1"/>
                <w:sz w:val="17"/>
                <w:szCs w:val="17"/>
                <w:lang w:val="en-GB"/>
              </w:rPr>
              <w:t>32</w:t>
            </w:r>
          </w:p>
        </w:tc>
        <w:tc>
          <w:tcPr>
            <w:tcW w:w="888" w:type="dxa"/>
            <w:shd w:val="clear" w:color="auto" w:fill="auto"/>
            <w:vAlign w:val="bottom"/>
          </w:tcPr>
          <w:p w14:paraId="750825F5"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15</w:t>
            </w:r>
          </w:p>
        </w:tc>
      </w:tr>
      <w:tr w:rsidR="0016696A" w:rsidRPr="00B10D24" w14:paraId="38591294" w14:textId="77777777" w:rsidTr="00206464">
        <w:tc>
          <w:tcPr>
            <w:tcW w:w="6300" w:type="dxa"/>
            <w:shd w:val="clear" w:color="auto" w:fill="auto"/>
            <w:vAlign w:val="bottom"/>
          </w:tcPr>
          <w:p w14:paraId="5B1BF801"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1.</w:t>
            </w:r>
            <w:r w:rsidRPr="00B10D24">
              <w:rPr>
                <w:sz w:val="17"/>
                <w:lang w:val="en-GB"/>
              </w:rPr>
              <w:tab/>
              <w:t>Demonstration projects on improving urban air quality, the urban environment, climate change mitigation, and increased access to low-carbon basic services, greener infrastructure and buildings</w:t>
            </w:r>
          </w:p>
        </w:tc>
        <w:tc>
          <w:tcPr>
            <w:tcW w:w="887" w:type="dxa"/>
            <w:shd w:val="clear" w:color="auto" w:fill="auto"/>
            <w:vAlign w:val="bottom"/>
          </w:tcPr>
          <w:p w14:paraId="5B062D68"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4</w:t>
            </w:r>
          </w:p>
        </w:tc>
        <w:tc>
          <w:tcPr>
            <w:tcW w:w="888" w:type="dxa"/>
            <w:shd w:val="clear" w:color="auto" w:fill="auto"/>
            <w:vAlign w:val="bottom"/>
          </w:tcPr>
          <w:p w14:paraId="1708CFF7"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4</w:t>
            </w:r>
          </w:p>
        </w:tc>
        <w:tc>
          <w:tcPr>
            <w:tcW w:w="887" w:type="dxa"/>
            <w:shd w:val="clear" w:color="auto" w:fill="auto"/>
            <w:vAlign w:val="bottom"/>
          </w:tcPr>
          <w:p w14:paraId="481F00C2"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4</w:t>
            </w:r>
          </w:p>
        </w:tc>
        <w:tc>
          <w:tcPr>
            <w:tcW w:w="888" w:type="dxa"/>
            <w:shd w:val="clear" w:color="auto" w:fill="auto"/>
            <w:vAlign w:val="bottom"/>
          </w:tcPr>
          <w:p w14:paraId="686CFDFF"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2</w:t>
            </w:r>
          </w:p>
        </w:tc>
      </w:tr>
      <w:tr w:rsidR="0016696A" w:rsidRPr="00B10D24" w14:paraId="5BBFF8FA" w14:textId="77777777" w:rsidTr="00206464">
        <w:tc>
          <w:tcPr>
            <w:tcW w:w="6300" w:type="dxa"/>
            <w:shd w:val="clear" w:color="auto" w:fill="auto"/>
            <w:vAlign w:val="bottom"/>
          </w:tcPr>
          <w:p w14:paraId="4C2A83AB"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2.</w:t>
            </w:r>
            <w:r w:rsidRPr="00B10D24">
              <w:rPr>
                <w:sz w:val="17"/>
                <w:lang w:val="en-GB"/>
              </w:rPr>
              <w:tab/>
              <w:t>Improved policies, legal instruments, plans and strategies for better urban air quality, the urban environment, climate change mitigation and low-carbon basic services and greener infrastructure and buildings</w:t>
            </w:r>
          </w:p>
        </w:tc>
        <w:tc>
          <w:tcPr>
            <w:tcW w:w="887" w:type="dxa"/>
            <w:shd w:val="clear" w:color="auto" w:fill="auto"/>
            <w:vAlign w:val="bottom"/>
          </w:tcPr>
          <w:p w14:paraId="160A110A"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2</w:t>
            </w:r>
          </w:p>
        </w:tc>
        <w:tc>
          <w:tcPr>
            <w:tcW w:w="888" w:type="dxa"/>
            <w:shd w:val="clear" w:color="auto" w:fill="auto"/>
            <w:vAlign w:val="bottom"/>
          </w:tcPr>
          <w:p w14:paraId="1B3C5EEA"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2</w:t>
            </w:r>
          </w:p>
        </w:tc>
        <w:tc>
          <w:tcPr>
            <w:tcW w:w="887" w:type="dxa"/>
            <w:shd w:val="clear" w:color="auto" w:fill="auto"/>
            <w:vAlign w:val="bottom"/>
          </w:tcPr>
          <w:p w14:paraId="7611E5E9"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3</w:t>
            </w:r>
          </w:p>
        </w:tc>
        <w:tc>
          <w:tcPr>
            <w:tcW w:w="888" w:type="dxa"/>
            <w:shd w:val="clear" w:color="auto" w:fill="auto"/>
            <w:vAlign w:val="bottom"/>
          </w:tcPr>
          <w:p w14:paraId="27AE109C"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r>
      <w:tr w:rsidR="0016696A" w:rsidRPr="00B10D24" w14:paraId="0687EAD8" w14:textId="77777777" w:rsidTr="00206464">
        <w:tc>
          <w:tcPr>
            <w:tcW w:w="6300" w:type="dxa"/>
            <w:shd w:val="clear" w:color="auto" w:fill="auto"/>
            <w:vAlign w:val="bottom"/>
          </w:tcPr>
          <w:p w14:paraId="6EBF7385" w14:textId="77777777" w:rsidR="0016696A" w:rsidRPr="00B10D24" w:rsidRDefault="0016696A" w:rsidP="00206464">
            <w:pPr>
              <w:tabs>
                <w:tab w:val="left" w:pos="288"/>
                <w:tab w:val="left" w:pos="576"/>
                <w:tab w:val="left" w:pos="864"/>
                <w:tab w:val="left" w:pos="1152"/>
              </w:tabs>
              <w:spacing w:before="40" w:after="40" w:line="210" w:lineRule="exact"/>
              <w:ind w:left="576" w:hanging="576"/>
              <w:rPr>
                <w:sz w:val="17"/>
                <w:lang w:val="en-GB"/>
              </w:rPr>
            </w:pPr>
            <w:r w:rsidRPr="00B10D24">
              <w:rPr>
                <w:sz w:val="17"/>
                <w:lang w:val="en-GB"/>
              </w:rPr>
              <w:tab/>
              <w:t>3.</w:t>
            </w:r>
            <w:r w:rsidRPr="00B10D24">
              <w:rPr>
                <w:sz w:val="17"/>
                <w:lang w:val="en-GB"/>
              </w:rPr>
              <w:tab/>
              <w:t>Demonstration projects on resilience-building and adaptation of communities and infrastructure to climate change, and disaster risk reduction</w:t>
            </w:r>
          </w:p>
        </w:tc>
        <w:tc>
          <w:tcPr>
            <w:tcW w:w="887" w:type="dxa"/>
            <w:shd w:val="clear" w:color="auto" w:fill="auto"/>
            <w:vAlign w:val="bottom"/>
          </w:tcPr>
          <w:p w14:paraId="41BFBA50"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10</w:t>
            </w:r>
          </w:p>
        </w:tc>
        <w:tc>
          <w:tcPr>
            <w:tcW w:w="888" w:type="dxa"/>
            <w:shd w:val="clear" w:color="auto" w:fill="auto"/>
            <w:vAlign w:val="bottom"/>
          </w:tcPr>
          <w:p w14:paraId="735B78C9"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10</w:t>
            </w:r>
          </w:p>
        </w:tc>
        <w:tc>
          <w:tcPr>
            <w:tcW w:w="887" w:type="dxa"/>
            <w:shd w:val="clear" w:color="auto" w:fill="auto"/>
            <w:vAlign w:val="bottom"/>
          </w:tcPr>
          <w:p w14:paraId="17359C2D"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11</w:t>
            </w:r>
          </w:p>
        </w:tc>
        <w:tc>
          <w:tcPr>
            <w:tcW w:w="888" w:type="dxa"/>
            <w:shd w:val="clear" w:color="auto" w:fill="auto"/>
            <w:vAlign w:val="bottom"/>
          </w:tcPr>
          <w:p w14:paraId="7EB52636"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6</w:t>
            </w:r>
          </w:p>
        </w:tc>
      </w:tr>
      <w:tr w:rsidR="0016696A" w:rsidRPr="00B10D24" w14:paraId="3F27E9EA" w14:textId="77777777" w:rsidTr="00206464">
        <w:tc>
          <w:tcPr>
            <w:tcW w:w="6300" w:type="dxa"/>
            <w:shd w:val="clear" w:color="auto" w:fill="auto"/>
            <w:vAlign w:val="bottom"/>
          </w:tcPr>
          <w:p w14:paraId="27491273"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4.</w:t>
            </w:r>
            <w:r w:rsidRPr="00B10D24">
              <w:rPr>
                <w:sz w:val="17"/>
                <w:lang w:val="en-GB"/>
              </w:rPr>
              <w:tab/>
              <w:t>Improved policies, legal instruments, plans and strategies for effective adaptation of communities and infrastructure to climate change, informed by participatory processes, assessments of local vulnerabilities and innovative data collection (i.e., remote sensing) and processing</w:t>
            </w:r>
          </w:p>
        </w:tc>
        <w:tc>
          <w:tcPr>
            <w:tcW w:w="887" w:type="dxa"/>
            <w:shd w:val="clear" w:color="auto" w:fill="auto"/>
            <w:vAlign w:val="bottom"/>
          </w:tcPr>
          <w:p w14:paraId="39557F2C"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5</w:t>
            </w:r>
          </w:p>
        </w:tc>
        <w:tc>
          <w:tcPr>
            <w:tcW w:w="888" w:type="dxa"/>
            <w:shd w:val="clear" w:color="auto" w:fill="auto"/>
            <w:vAlign w:val="bottom"/>
          </w:tcPr>
          <w:p w14:paraId="1FFC9A12"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5</w:t>
            </w:r>
          </w:p>
        </w:tc>
        <w:tc>
          <w:tcPr>
            <w:tcW w:w="887" w:type="dxa"/>
            <w:shd w:val="clear" w:color="auto" w:fill="auto"/>
            <w:vAlign w:val="bottom"/>
          </w:tcPr>
          <w:p w14:paraId="38AF6B46"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6</w:t>
            </w:r>
          </w:p>
        </w:tc>
        <w:tc>
          <w:tcPr>
            <w:tcW w:w="888" w:type="dxa"/>
            <w:shd w:val="clear" w:color="auto" w:fill="auto"/>
            <w:vAlign w:val="bottom"/>
          </w:tcPr>
          <w:p w14:paraId="3CB321E4"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3</w:t>
            </w:r>
          </w:p>
        </w:tc>
      </w:tr>
      <w:tr w:rsidR="0016696A" w:rsidRPr="00B10D24" w14:paraId="7F819ADE" w14:textId="77777777" w:rsidTr="00206464">
        <w:tc>
          <w:tcPr>
            <w:tcW w:w="6300" w:type="dxa"/>
            <w:shd w:val="clear" w:color="auto" w:fill="auto"/>
            <w:vAlign w:val="bottom"/>
          </w:tcPr>
          <w:p w14:paraId="794597C9" w14:textId="77777777" w:rsidR="0016696A" w:rsidRPr="00B10D24" w:rsidRDefault="0016696A" w:rsidP="00206464">
            <w:pPr>
              <w:tabs>
                <w:tab w:val="left" w:pos="288"/>
                <w:tab w:val="left" w:pos="576"/>
                <w:tab w:val="left" w:pos="864"/>
                <w:tab w:val="left" w:pos="1152"/>
              </w:tabs>
              <w:spacing w:before="40" w:after="40" w:line="210" w:lineRule="exact"/>
              <w:ind w:left="576" w:hanging="576"/>
              <w:rPr>
                <w:sz w:val="17"/>
                <w:lang w:val="en-GB"/>
              </w:rPr>
            </w:pPr>
            <w:r w:rsidRPr="00B10D24">
              <w:rPr>
                <w:sz w:val="17"/>
                <w:lang w:val="en-GB"/>
              </w:rPr>
              <w:tab/>
              <w:t>5.</w:t>
            </w:r>
            <w:r w:rsidRPr="00B10D24">
              <w:rPr>
                <w:sz w:val="17"/>
                <w:lang w:val="en-GB"/>
              </w:rPr>
              <w:tab/>
              <w:t>Demonstration projects on urban environmental management and restoration, biodiversity protection, circular economy and ecosystem services</w:t>
            </w:r>
          </w:p>
        </w:tc>
        <w:tc>
          <w:tcPr>
            <w:tcW w:w="887" w:type="dxa"/>
            <w:shd w:val="clear" w:color="auto" w:fill="auto"/>
            <w:vAlign w:val="bottom"/>
          </w:tcPr>
          <w:p w14:paraId="7DDCFBCB"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4</w:t>
            </w:r>
          </w:p>
        </w:tc>
        <w:tc>
          <w:tcPr>
            <w:tcW w:w="888" w:type="dxa"/>
            <w:shd w:val="clear" w:color="auto" w:fill="auto"/>
            <w:vAlign w:val="bottom"/>
          </w:tcPr>
          <w:p w14:paraId="21B48BAA"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2</w:t>
            </w:r>
          </w:p>
        </w:tc>
        <w:tc>
          <w:tcPr>
            <w:tcW w:w="887" w:type="dxa"/>
            <w:shd w:val="clear" w:color="auto" w:fill="auto"/>
            <w:vAlign w:val="bottom"/>
          </w:tcPr>
          <w:p w14:paraId="265EC869"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4</w:t>
            </w:r>
          </w:p>
        </w:tc>
        <w:tc>
          <w:tcPr>
            <w:tcW w:w="888" w:type="dxa"/>
            <w:shd w:val="clear" w:color="auto" w:fill="auto"/>
            <w:vAlign w:val="bottom"/>
          </w:tcPr>
          <w:p w14:paraId="1D3B1AD8"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r>
      <w:tr w:rsidR="0016696A" w:rsidRPr="00B10D24" w14:paraId="5E353A24" w14:textId="77777777" w:rsidTr="00206464">
        <w:tc>
          <w:tcPr>
            <w:tcW w:w="6300" w:type="dxa"/>
            <w:shd w:val="clear" w:color="auto" w:fill="auto"/>
            <w:vAlign w:val="bottom"/>
          </w:tcPr>
          <w:p w14:paraId="2A1F4504" w14:textId="77777777" w:rsidR="0016696A" w:rsidRPr="00B10D24" w:rsidRDefault="0016696A" w:rsidP="00206464">
            <w:pPr>
              <w:tabs>
                <w:tab w:val="left" w:pos="288"/>
                <w:tab w:val="left" w:pos="576"/>
                <w:tab w:val="left" w:pos="864"/>
                <w:tab w:val="left" w:pos="1152"/>
              </w:tabs>
              <w:spacing w:before="40" w:after="40" w:line="210" w:lineRule="exact"/>
              <w:ind w:left="576" w:hanging="576"/>
              <w:rPr>
                <w:sz w:val="17"/>
                <w:lang w:val="en-GB"/>
              </w:rPr>
            </w:pPr>
            <w:r w:rsidRPr="00B10D24">
              <w:rPr>
                <w:sz w:val="17"/>
                <w:lang w:val="en-GB"/>
              </w:rPr>
              <w:tab/>
              <w:t>6.</w:t>
            </w:r>
            <w:r w:rsidRPr="00B10D24">
              <w:rPr>
                <w:sz w:val="17"/>
                <w:lang w:val="en-GB"/>
              </w:rPr>
              <w:tab/>
              <w:t>National, regional and local policies, plans and strategies for improved urban resource management and efficiency, including circular economy, efficient use of urban land, service provision and sustainable water and waste management, and promotion of renewable energy and energy efficiency</w:t>
            </w:r>
          </w:p>
        </w:tc>
        <w:tc>
          <w:tcPr>
            <w:tcW w:w="887" w:type="dxa"/>
            <w:shd w:val="clear" w:color="auto" w:fill="auto"/>
            <w:vAlign w:val="bottom"/>
          </w:tcPr>
          <w:p w14:paraId="0CA7626E"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3</w:t>
            </w:r>
          </w:p>
        </w:tc>
        <w:tc>
          <w:tcPr>
            <w:tcW w:w="888" w:type="dxa"/>
            <w:shd w:val="clear" w:color="auto" w:fill="auto"/>
            <w:vAlign w:val="bottom"/>
          </w:tcPr>
          <w:p w14:paraId="0C77BD60"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1</w:t>
            </w:r>
          </w:p>
        </w:tc>
        <w:tc>
          <w:tcPr>
            <w:tcW w:w="887" w:type="dxa"/>
            <w:shd w:val="clear" w:color="auto" w:fill="auto"/>
            <w:vAlign w:val="bottom"/>
          </w:tcPr>
          <w:p w14:paraId="68A8D42E"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4</w:t>
            </w:r>
          </w:p>
        </w:tc>
        <w:tc>
          <w:tcPr>
            <w:tcW w:w="888" w:type="dxa"/>
            <w:shd w:val="clear" w:color="auto" w:fill="auto"/>
            <w:vAlign w:val="bottom"/>
          </w:tcPr>
          <w:p w14:paraId="2FE0CD6A"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2</w:t>
            </w:r>
          </w:p>
        </w:tc>
      </w:tr>
      <w:tr w:rsidR="0016696A" w:rsidRPr="00B10D24" w14:paraId="02CA97D4" w14:textId="77777777" w:rsidTr="00206464">
        <w:tc>
          <w:tcPr>
            <w:tcW w:w="6300" w:type="dxa"/>
            <w:shd w:val="clear" w:color="auto" w:fill="auto"/>
            <w:vAlign w:val="bottom"/>
          </w:tcPr>
          <w:p w14:paraId="3B0460BA" w14:textId="77777777" w:rsidR="0016696A" w:rsidRPr="00B10D24" w:rsidRDefault="0016696A" w:rsidP="00206464">
            <w:pPr>
              <w:tabs>
                <w:tab w:val="left" w:pos="288"/>
                <w:tab w:val="left" w:pos="576"/>
                <w:tab w:val="left" w:pos="864"/>
                <w:tab w:val="left" w:pos="1152"/>
              </w:tabs>
              <w:spacing w:before="40" w:after="40" w:line="210" w:lineRule="exact"/>
              <w:ind w:right="40"/>
              <w:rPr>
                <w:sz w:val="17"/>
                <w:lang w:val="en-GB"/>
              </w:rPr>
            </w:pPr>
            <w:r w:rsidRPr="00B10D24">
              <w:rPr>
                <w:b/>
                <w:sz w:val="17"/>
                <w:lang w:val="en-GB"/>
              </w:rPr>
              <w:tab/>
              <w:t>Seminars, workshops and training events</w:t>
            </w:r>
            <w:r w:rsidRPr="00B10D24">
              <w:rPr>
                <w:sz w:val="17"/>
                <w:lang w:val="en-GB"/>
              </w:rPr>
              <w:t xml:space="preserve"> (number of days)</w:t>
            </w:r>
          </w:p>
        </w:tc>
        <w:tc>
          <w:tcPr>
            <w:tcW w:w="887" w:type="dxa"/>
            <w:shd w:val="clear" w:color="auto" w:fill="auto"/>
            <w:vAlign w:val="bottom"/>
          </w:tcPr>
          <w:p w14:paraId="31FF9DC2"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93</w:t>
            </w:r>
          </w:p>
        </w:tc>
        <w:tc>
          <w:tcPr>
            <w:tcW w:w="888" w:type="dxa"/>
            <w:shd w:val="clear" w:color="auto" w:fill="auto"/>
            <w:vAlign w:val="bottom"/>
          </w:tcPr>
          <w:p w14:paraId="3653DB51"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57</w:t>
            </w:r>
          </w:p>
        </w:tc>
        <w:tc>
          <w:tcPr>
            <w:tcW w:w="887" w:type="dxa"/>
            <w:shd w:val="clear" w:color="auto" w:fill="auto"/>
            <w:vAlign w:val="bottom"/>
          </w:tcPr>
          <w:p w14:paraId="4A1182F9"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color w:val="000000" w:themeColor="text1"/>
                <w:sz w:val="17"/>
                <w:szCs w:val="17"/>
                <w:lang w:val="en-GB"/>
              </w:rPr>
              <w:t>100</w:t>
            </w:r>
          </w:p>
        </w:tc>
        <w:tc>
          <w:tcPr>
            <w:tcW w:w="888" w:type="dxa"/>
            <w:shd w:val="clear" w:color="auto" w:fill="auto"/>
            <w:vAlign w:val="bottom"/>
          </w:tcPr>
          <w:p w14:paraId="1CDA6E6A"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38</w:t>
            </w:r>
          </w:p>
        </w:tc>
      </w:tr>
      <w:tr w:rsidR="0016696A" w:rsidRPr="00B10D24" w14:paraId="66DCA466" w14:textId="77777777" w:rsidTr="00206464">
        <w:tc>
          <w:tcPr>
            <w:tcW w:w="6300" w:type="dxa"/>
            <w:shd w:val="clear" w:color="auto" w:fill="auto"/>
            <w:vAlign w:val="bottom"/>
          </w:tcPr>
          <w:p w14:paraId="312F3FC9"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7.</w:t>
            </w:r>
            <w:r w:rsidRPr="00B10D24">
              <w:rPr>
                <w:sz w:val="17"/>
                <w:lang w:val="en-GB"/>
              </w:rPr>
              <w:tab/>
              <w:t>Seminars, workshops and training events leading to enhanced awareness and capacity of partners and those in vulnerable situations (e.g., in informal settlements) to plan for, manage and act on climate change mitigation, air quality and low-carbon basic services</w:t>
            </w:r>
          </w:p>
        </w:tc>
        <w:tc>
          <w:tcPr>
            <w:tcW w:w="887" w:type="dxa"/>
            <w:shd w:val="clear" w:color="auto" w:fill="auto"/>
            <w:vAlign w:val="bottom"/>
          </w:tcPr>
          <w:p w14:paraId="7CAEDC75"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30</w:t>
            </w:r>
          </w:p>
        </w:tc>
        <w:tc>
          <w:tcPr>
            <w:tcW w:w="888" w:type="dxa"/>
            <w:shd w:val="clear" w:color="auto" w:fill="auto"/>
            <w:vAlign w:val="bottom"/>
          </w:tcPr>
          <w:p w14:paraId="5B4C6E90"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16</w:t>
            </w:r>
          </w:p>
        </w:tc>
        <w:tc>
          <w:tcPr>
            <w:tcW w:w="887" w:type="dxa"/>
            <w:shd w:val="clear" w:color="auto" w:fill="auto"/>
            <w:vAlign w:val="bottom"/>
          </w:tcPr>
          <w:p w14:paraId="1E3A601C"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35</w:t>
            </w:r>
          </w:p>
        </w:tc>
        <w:tc>
          <w:tcPr>
            <w:tcW w:w="888" w:type="dxa"/>
            <w:shd w:val="clear" w:color="auto" w:fill="auto"/>
            <w:vAlign w:val="bottom"/>
          </w:tcPr>
          <w:p w14:paraId="4085C4D3"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10</w:t>
            </w:r>
          </w:p>
        </w:tc>
      </w:tr>
      <w:tr w:rsidR="0016696A" w:rsidRPr="00B10D24" w14:paraId="1C3E0FBE" w14:textId="77777777" w:rsidTr="00206464">
        <w:tc>
          <w:tcPr>
            <w:tcW w:w="6300" w:type="dxa"/>
            <w:shd w:val="clear" w:color="auto" w:fill="auto"/>
            <w:vAlign w:val="bottom"/>
          </w:tcPr>
          <w:p w14:paraId="399BBD6A"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8.</w:t>
            </w:r>
            <w:r w:rsidRPr="00B10D24">
              <w:rPr>
                <w:sz w:val="17"/>
                <w:lang w:val="en-GB"/>
              </w:rPr>
              <w:tab/>
              <w:t>Seminars, workshops and training events leading to strengthened capacities of UN-Habitat partners to plan for, manage and act on effective adaptation of communities and infrastructure to climate change</w:t>
            </w:r>
          </w:p>
        </w:tc>
        <w:tc>
          <w:tcPr>
            <w:tcW w:w="887" w:type="dxa"/>
            <w:shd w:val="clear" w:color="auto" w:fill="auto"/>
            <w:vAlign w:val="bottom"/>
          </w:tcPr>
          <w:p w14:paraId="26BE559D"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55</w:t>
            </w:r>
          </w:p>
        </w:tc>
        <w:tc>
          <w:tcPr>
            <w:tcW w:w="888" w:type="dxa"/>
            <w:shd w:val="clear" w:color="auto" w:fill="auto"/>
            <w:vAlign w:val="bottom"/>
          </w:tcPr>
          <w:p w14:paraId="6EE73429"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33</w:t>
            </w:r>
          </w:p>
        </w:tc>
        <w:tc>
          <w:tcPr>
            <w:tcW w:w="887" w:type="dxa"/>
            <w:shd w:val="clear" w:color="auto" w:fill="auto"/>
            <w:vAlign w:val="bottom"/>
          </w:tcPr>
          <w:p w14:paraId="36C8F7B7"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55</w:t>
            </w:r>
          </w:p>
        </w:tc>
        <w:tc>
          <w:tcPr>
            <w:tcW w:w="888" w:type="dxa"/>
            <w:shd w:val="clear" w:color="auto" w:fill="auto"/>
            <w:vAlign w:val="bottom"/>
          </w:tcPr>
          <w:p w14:paraId="56D3F3D5"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25</w:t>
            </w:r>
          </w:p>
        </w:tc>
      </w:tr>
      <w:tr w:rsidR="0016696A" w:rsidRPr="00B10D24" w14:paraId="69B700F9" w14:textId="77777777" w:rsidTr="00206464">
        <w:tc>
          <w:tcPr>
            <w:tcW w:w="6300" w:type="dxa"/>
            <w:shd w:val="clear" w:color="auto" w:fill="auto"/>
            <w:vAlign w:val="bottom"/>
          </w:tcPr>
          <w:p w14:paraId="13EEABF1"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9.</w:t>
            </w:r>
            <w:r w:rsidRPr="00B10D24">
              <w:rPr>
                <w:sz w:val="17"/>
                <w:lang w:val="en-GB"/>
              </w:rPr>
              <w:tab/>
              <w:t>Seminars, workshops and training events leading to enhanced understanding of green city models and their application, green infrastructure and green-blue urban planning</w:t>
            </w:r>
          </w:p>
        </w:tc>
        <w:tc>
          <w:tcPr>
            <w:tcW w:w="887" w:type="dxa"/>
            <w:shd w:val="clear" w:color="auto" w:fill="auto"/>
            <w:vAlign w:val="bottom"/>
          </w:tcPr>
          <w:p w14:paraId="4646EDB4"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4</w:t>
            </w:r>
          </w:p>
        </w:tc>
        <w:tc>
          <w:tcPr>
            <w:tcW w:w="888" w:type="dxa"/>
            <w:shd w:val="clear" w:color="auto" w:fill="auto"/>
            <w:vAlign w:val="bottom"/>
          </w:tcPr>
          <w:p w14:paraId="2A19F23A"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4</w:t>
            </w:r>
          </w:p>
        </w:tc>
        <w:tc>
          <w:tcPr>
            <w:tcW w:w="887" w:type="dxa"/>
            <w:shd w:val="clear" w:color="auto" w:fill="auto"/>
            <w:vAlign w:val="bottom"/>
          </w:tcPr>
          <w:p w14:paraId="406E5AC2"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5</w:t>
            </w:r>
          </w:p>
        </w:tc>
        <w:tc>
          <w:tcPr>
            <w:tcW w:w="888" w:type="dxa"/>
            <w:shd w:val="clear" w:color="auto" w:fill="auto"/>
            <w:vAlign w:val="bottom"/>
          </w:tcPr>
          <w:p w14:paraId="649CAD73"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w:t>
            </w:r>
          </w:p>
        </w:tc>
      </w:tr>
      <w:tr w:rsidR="0016696A" w:rsidRPr="00B10D24" w14:paraId="4B829B84" w14:textId="77777777" w:rsidTr="00206464">
        <w:tc>
          <w:tcPr>
            <w:tcW w:w="6300" w:type="dxa"/>
            <w:shd w:val="clear" w:color="auto" w:fill="auto"/>
            <w:vAlign w:val="bottom"/>
          </w:tcPr>
          <w:p w14:paraId="2CAD3563"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10.</w:t>
            </w:r>
            <w:r w:rsidRPr="00B10D24">
              <w:rPr>
                <w:sz w:val="17"/>
                <w:lang w:val="en-GB"/>
              </w:rPr>
              <w:tab/>
              <w:t>Training on environment and climate dimensions (air quality, water, sanitation, waste management) and Sustainable Development Goal monitoring in urban areas</w:t>
            </w:r>
          </w:p>
        </w:tc>
        <w:tc>
          <w:tcPr>
            <w:tcW w:w="887" w:type="dxa"/>
            <w:shd w:val="clear" w:color="auto" w:fill="auto"/>
            <w:vAlign w:val="bottom"/>
          </w:tcPr>
          <w:p w14:paraId="0BE5E425"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4</w:t>
            </w:r>
          </w:p>
        </w:tc>
        <w:tc>
          <w:tcPr>
            <w:tcW w:w="888" w:type="dxa"/>
            <w:shd w:val="clear" w:color="auto" w:fill="auto"/>
            <w:vAlign w:val="bottom"/>
          </w:tcPr>
          <w:p w14:paraId="0D6E165E"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4</w:t>
            </w:r>
          </w:p>
        </w:tc>
        <w:tc>
          <w:tcPr>
            <w:tcW w:w="887" w:type="dxa"/>
            <w:shd w:val="clear" w:color="auto" w:fill="auto"/>
            <w:vAlign w:val="bottom"/>
          </w:tcPr>
          <w:p w14:paraId="535CCD18"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5</w:t>
            </w:r>
          </w:p>
        </w:tc>
        <w:tc>
          <w:tcPr>
            <w:tcW w:w="888" w:type="dxa"/>
            <w:shd w:val="clear" w:color="auto" w:fill="auto"/>
            <w:vAlign w:val="bottom"/>
          </w:tcPr>
          <w:p w14:paraId="2A34ED5C"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3</w:t>
            </w:r>
          </w:p>
        </w:tc>
      </w:tr>
      <w:tr w:rsidR="0016696A" w:rsidRPr="00B10D24" w14:paraId="5CF0D74A" w14:textId="77777777" w:rsidTr="00206464">
        <w:tc>
          <w:tcPr>
            <w:tcW w:w="6300" w:type="dxa"/>
            <w:shd w:val="clear" w:color="auto" w:fill="auto"/>
            <w:vAlign w:val="bottom"/>
          </w:tcPr>
          <w:p w14:paraId="6C950086" w14:textId="77777777" w:rsidR="0016696A" w:rsidRPr="00B10D24" w:rsidRDefault="0016696A" w:rsidP="00206464">
            <w:pPr>
              <w:tabs>
                <w:tab w:val="left" w:pos="288"/>
                <w:tab w:val="left" w:pos="576"/>
                <w:tab w:val="left" w:pos="864"/>
                <w:tab w:val="left" w:pos="1152"/>
              </w:tabs>
              <w:spacing w:before="40" w:after="40" w:line="210" w:lineRule="exact"/>
              <w:ind w:right="40"/>
              <w:rPr>
                <w:sz w:val="17"/>
                <w:lang w:val="en-GB"/>
              </w:rPr>
            </w:pPr>
            <w:r w:rsidRPr="00B10D24">
              <w:rPr>
                <w:sz w:val="17"/>
                <w:lang w:val="en-GB"/>
              </w:rPr>
              <w:tab/>
            </w:r>
            <w:r w:rsidRPr="00B10D24">
              <w:rPr>
                <w:b/>
                <w:sz w:val="17"/>
                <w:lang w:val="en-GB"/>
              </w:rPr>
              <w:t>Publications</w:t>
            </w:r>
            <w:r w:rsidRPr="00B10D24">
              <w:rPr>
                <w:sz w:val="17"/>
                <w:lang w:val="en-GB"/>
              </w:rPr>
              <w:t xml:space="preserve"> (number of publications) </w:t>
            </w:r>
          </w:p>
        </w:tc>
        <w:tc>
          <w:tcPr>
            <w:tcW w:w="887" w:type="dxa"/>
            <w:shd w:val="clear" w:color="auto" w:fill="auto"/>
            <w:vAlign w:val="bottom"/>
          </w:tcPr>
          <w:p w14:paraId="2B421243"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2</w:t>
            </w:r>
          </w:p>
        </w:tc>
        <w:tc>
          <w:tcPr>
            <w:tcW w:w="888" w:type="dxa"/>
            <w:shd w:val="clear" w:color="auto" w:fill="auto"/>
            <w:vAlign w:val="bottom"/>
          </w:tcPr>
          <w:p w14:paraId="20C3584D"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2</w:t>
            </w:r>
          </w:p>
        </w:tc>
        <w:tc>
          <w:tcPr>
            <w:tcW w:w="887" w:type="dxa"/>
            <w:shd w:val="clear" w:color="auto" w:fill="auto"/>
            <w:vAlign w:val="bottom"/>
          </w:tcPr>
          <w:p w14:paraId="011F5226"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color w:val="000000" w:themeColor="text1"/>
                <w:sz w:val="17"/>
                <w:szCs w:val="17"/>
                <w:lang w:val="en-GB"/>
              </w:rPr>
              <w:t>3</w:t>
            </w:r>
          </w:p>
        </w:tc>
        <w:tc>
          <w:tcPr>
            <w:tcW w:w="888" w:type="dxa"/>
            <w:shd w:val="clear" w:color="auto" w:fill="auto"/>
            <w:vAlign w:val="bottom"/>
          </w:tcPr>
          <w:p w14:paraId="299F3CEB"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b/>
                <w:bCs/>
                <w:sz w:val="17"/>
                <w:lang w:val="en-GB"/>
              </w:rPr>
            </w:pPr>
            <w:r w:rsidRPr="00B10D24">
              <w:rPr>
                <w:b/>
                <w:bCs/>
                <w:color w:val="000000" w:themeColor="text1"/>
                <w:sz w:val="17"/>
                <w:lang w:val="en-GB"/>
              </w:rPr>
              <w:t>3</w:t>
            </w:r>
          </w:p>
        </w:tc>
      </w:tr>
      <w:tr w:rsidR="0016696A" w:rsidRPr="00B10D24" w14:paraId="595CC024" w14:textId="77777777" w:rsidTr="00206464">
        <w:tc>
          <w:tcPr>
            <w:tcW w:w="6300" w:type="dxa"/>
            <w:shd w:val="clear" w:color="auto" w:fill="auto"/>
            <w:vAlign w:val="bottom"/>
          </w:tcPr>
          <w:p w14:paraId="1E802802"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11.</w:t>
            </w:r>
            <w:r w:rsidRPr="00B10D24">
              <w:rPr>
                <w:sz w:val="17"/>
                <w:lang w:val="en-GB"/>
              </w:rPr>
              <w:tab/>
              <w:t xml:space="preserve">Publication on climate change mitigation and air quality </w:t>
            </w:r>
          </w:p>
        </w:tc>
        <w:tc>
          <w:tcPr>
            <w:tcW w:w="887" w:type="dxa"/>
            <w:shd w:val="clear" w:color="auto" w:fill="auto"/>
            <w:vAlign w:val="bottom"/>
          </w:tcPr>
          <w:p w14:paraId="358BA919"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c>
          <w:tcPr>
            <w:tcW w:w="888" w:type="dxa"/>
            <w:shd w:val="clear" w:color="auto" w:fill="auto"/>
            <w:vAlign w:val="bottom"/>
          </w:tcPr>
          <w:p w14:paraId="49E2EBCA"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c>
          <w:tcPr>
            <w:tcW w:w="887" w:type="dxa"/>
            <w:shd w:val="clear" w:color="auto" w:fill="auto"/>
            <w:vAlign w:val="bottom"/>
          </w:tcPr>
          <w:p w14:paraId="217C77B5"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1</w:t>
            </w:r>
          </w:p>
        </w:tc>
        <w:tc>
          <w:tcPr>
            <w:tcW w:w="888" w:type="dxa"/>
            <w:shd w:val="clear" w:color="auto" w:fill="auto"/>
            <w:vAlign w:val="bottom"/>
          </w:tcPr>
          <w:p w14:paraId="3F090DA1"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r>
      <w:tr w:rsidR="0016696A" w:rsidRPr="00B10D24" w14:paraId="091AE59B" w14:textId="77777777" w:rsidTr="00206464">
        <w:tc>
          <w:tcPr>
            <w:tcW w:w="6300" w:type="dxa"/>
            <w:shd w:val="clear" w:color="auto" w:fill="auto"/>
            <w:vAlign w:val="bottom"/>
          </w:tcPr>
          <w:p w14:paraId="5643F912"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12.</w:t>
            </w:r>
            <w:r w:rsidRPr="00B10D24">
              <w:rPr>
                <w:sz w:val="17"/>
                <w:lang w:val="en-GB"/>
              </w:rPr>
              <w:tab/>
              <w:t>Publication on effective adaptation of communities of slums and other marginalized communities in urban neighbourhoods, and infrastructure, to climate change</w:t>
            </w:r>
          </w:p>
        </w:tc>
        <w:tc>
          <w:tcPr>
            <w:tcW w:w="887" w:type="dxa"/>
            <w:shd w:val="clear" w:color="auto" w:fill="auto"/>
            <w:vAlign w:val="bottom"/>
          </w:tcPr>
          <w:p w14:paraId="08B71922"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c>
          <w:tcPr>
            <w:tcW w:w="888" w:type="dxa"/>
            <w:shd w:val="clear" w:color="auto" w:fill="auto"/>
            <w:vAlign w:val="bottom"/>
          </w:tcPr>
          <w:p w14:paraId="734BEEE9"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c>
          <w:tcPr>
            <w:tcW w:w="887" w:type="dxa"/>
            <w:shd w:val="clear" w:color="auto" w:fill="auto"/>
            <w:vAlign w:val="bottom"/>
          </w:tcPr>
          <w:p w14:paraId="43195E60"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1</w:t>
            </w:r>
          </w:p>
        </w:tc>
        <w:tc>
          <w:tcPr>
            <w:tcW w:w="888" w:type="dxa"/>
            <w:shd w:val="clear" w:color="auto" w:fill="auto"/>
            <w:vAlign w:val="bottom"/>
          </w:tcPr>
          <w:p w14:paraId="3F465AEC"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r>
      <w:tr w:rsidR="0016696A" w:rsidRPr="00B10D24" w14:paraId="6F4E7F6A" w14:textId="77777777" w:rsidTr="00206464">
        <w:tc>
          <w:tcPr>
            <w:tcW w:w="6300" w:type="dxa"/>
            <w:shd w:val="clear" w:color="auto" w:fill="auto"/>
            <w:vAlign w:val="bottom"/>
          </w:tcPr>
          <w:p w14:paraId="67E724ED"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13.</w:t>
            </w:r>
            <w:r w:rsidRPr="00B10D24">
              <w:rPr>
                <w:sz w:val="17"/>
                <w:lang w:val="en-GB"/>
              </w:rPr>
              <w:tab/>
              <w:t>Publication on improved low-carbon urban services and resource efficiency (e.g., focusing on technological innovation)</w:t>
            </w:r>
          </w:p>
        </w:tc>
        <w:tc>
          <w:tcPr>
            <w:tcW w:w="887" w:type="dxa"/>
            <w:shd w:val="clear" w:color="auto" w:fill="auto"/>
            <w:vAlign w:val="bottom"/>
          </w:tcPr>
          <w:p w14:paraId="29808C17"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w:t>
            </w:r>
          </w:p>
        </w:tc>
        <w:tc>
          <w:tcPr>
            <w:tcW w:w="888" w:type="dxa"/>
            <w:shd w:val="clear" w:color="auto" w:fill="auto"/>
            <w:vAlign w:val="bottom"/>
          </w:tcPr>
          <w:p w14:paraId="438B08BA"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w:t>
            </w:r>
          </w:p>
        </w:tc>
        <w:tc>
          <w:tcPr>
            <w:tcW w:w="887" w:type="dxa"/>
            <w:shd w:val="clear" w:color="auto" w:fill="auto"/>
            <w:vAlign w:val="bottom"/>
          </w:tcPr>
          <w:p w14:paraId="47DA8E27"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1</w:t>
            </w:r>
          </w:p>
        </w:tc>
        <w:tc>
          <w:tcPr>
            <w:tcW w:w="888" w:type="dxa"/>
            <w:shd w:val="clear" w:color="auto" w:fill="auto"/>
            <w:vAlign w:val="bottom"/>
          </w:tcPr>
          <w:p w14:paraId="268C4C0E"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r>
      <w:tr w:rsidR="0016696A" w:rsidRPr="00B10D24" w14:paraId="7C9A04C8" w14:textId="77777777" w:rsidTr="00206464">
        <w:tc>
          <w:tcPr>
            <w:tcW w:w="6300" w:type="dxa"/>
            <w:shd w:val="clear" w:color="auto" w:fill="auto"/>
            <w:vAlign w:val="bottom"/>
          </w:tcPr>
          <w:p w14:paraId="317AE68B" w14:textId="77777777" w:rsidR="0016696A" w:rsidRPr="00B10D24" w:rsidRDefault="0016696A" w:rsidP="00674BD1">
            <w:pPr>
              <w:keepNext/>
              <w:keepLines/>
              <w:tabs>
                <w:tab w:val="left" w:pos="288"/>
                <w:tab w:val="left" w:pos="576"/>
                <w:tab w:val="left" w:pos="864"/>
                <w:tab w:val="left" w:pos="1152"/>
              </w:tabs>
              <w:spacing w:before="40" w:after="40" w:line="210" w:lineRule="exact"/>
              <w:ind w:right="43"/>
              <w:rPr>
                <w:sz w:val="17"/>
                <w:lang w:val="en-GB"/>
              </w:rPr>
            </w:pPr>
            <w:r w:rsidRPr="00B10D24">
              <w:rPr>
                <w:sz w:val="17"/>
                <w:lang w:val="en-GB"/>
              </w:rPr>
              <w:lastRenderedPageBreak/>
              <w:tab/>
            </w:r>
            <w:r w:rsidRPr="00B10D24">
              <w:rPr>
                <w:b/>
                <w:sz w:val="17"/>
                <w:lang w:val="en-GB"/>
              </w:rPr>
              <w:t>Technical materials</w:t>
            </w:r>
            <w:r w:rsidRPr="00B10D24">
              <w:rPr>
                <w:sz w:val="17"/>
                <w:lang w:val="en-GB"/>
              </w:rPr>
              <w:t xml:space="preserve"> (number of materials)</w:t>
            </w:r>
          </w:p>
        </w:tc>
        <w:tc>
          <w:tcPr>
            <w:tcW w:w="887" w:type="dxa"/>
            <w:shd w:val="clear" w:color="auto" w:fill="auto"/>
            <w:vAlign w:val="bottom"/>
          </w:tcPr>
          <w:p w14:paraId="52EB1EAA" w14:textId="77777777" w:rsidR="0016696A" w:rsidRPr="00B10D24" w:rsidRDefault="0016696A" w:rsidP="00674BD1">
            <w:pPr>
              <w:keepNext/>
              <w:keepLines/>
              <w:tabs>
                <w:tab w:val="left" w:pos="288"/>
                <w:tab w:val="left" w:pos="576"/>
                <w:tab w:val="left" w:pos="864"/>
                <w:tab w:val="left" w:pos="1152"/>
              </w:tabs>
              <w:spacing w:before="40" w:after="40" w:line="210" w:lineRule="exact"/>
              <w:ind w:left="144" w:right="43"/>
              <w:jc w:val="right"/>
              <w:rPr>
                <w:b/>
                <w:sz w:val="17"/>
                <w:lang w:val="en-GB"/>
              </w:rPr>
            </w:pPr>
            <w:r w:rsidRPr="00B10D24">
              <w:rPr>
                <w:b/>
                <w:color w:val="000000" w:themeColor="text1"/>
                <w:sz w:val="17"/>
                <w:lang w:val="en-GB"/>
              </w:rPr>
              <w:t>9</w:t>
            </w:r>
          </w:p>
        </w:tc>
        <w:tc>
          <w:tcPr>
            <w:tcW w:w="888" w:type="dxa"/>
            <w:shd w:val="clear" w:color="auto" w:fill="auto"/>
            <w:vAlign w:val="bottom"/>
          </w:tcPr>
          <w:p w14:paraId="21043421" w14:textId="77777777" w:rsidR="0016696A" w:rsidRPr="00B10D24" w:rsidRDefault="0016696A" w:rsidP="00674BD1">
            <w:pPr>
              <w:keepNext/>
              <w:keepLines/>
              <w:tabs>
                <w:tab w:val="left" w:pos="288"/>
                <w:tab w:val="left" w:pos="576"/>
                <w:tab w:val="left" w:pos="864"/>
                <w:tab w:val="left" w:pos="1152"/>
              </w:tabs>
              <w:spacing w:before="40" w:after="40" w:line="210" w:lineRule="exact"/>
              <w:ind w:left="144" w:right="43"/>
              <w:jc w:val="right"/>
              <w:rPr>
                <w:b/>
                <w:sz w:val="17"/>
                <w:lang w:val="en-GB"/>
              </w:rPr>
            </w:pPr>
            <w:r w:rsidRPr="00B10D24">
              <w:rPr>
                <w:b/>
                <w:color w:val="000000" w:themeColor="text1"/>
                <w:sz w:val="17"/>
                <w:lang w:val="en-GB"/>
              </w:rPr>
              <w:t>9</w:t>
            </w:r>
          </w:p>
        </w:tc>
        <w:tc>
          <w:tcPr>
            <w:tcW w:w="887" w:type="dxa"/>
            <w:shd w:val="clear" w:color="auto" w:fill="auto"/>
            <w:vAlign w:val="bottom"/>
          </w:tcPr>
          <w:p w14:paraId="39509DB2" w14:textId="77777777" w:rsidR="0016696A" w:rsidRPr="00B10D24" w:rsidRDefault="0016696A" w:rsidP="00674BD1">
            <w:pPr>
              <w:keepNext/>
              <w:keepLines/>
              <w:tabs>
                <w:tab w:val="left" w:pos="288"/>
                <w:tab w:val="left" w:pos="576"/>
                <w:tab w:val="left" w:pos="864"/>
                <w:tab w:val="left" w:pos="1152"/>
              </w:tabs>
              <w:spacing w:before="40" w:after="40" w:line="210" w:lineRule="exact"/>
              <w:ind w:left="144" w:right="43"/>
              <w:jc w:val="right"/>
              <w:rPr>
                <w:b/>
                <w:sz w:val="17"/>
                <w:lang w:val="en-GB"/>
              </w:rPr>
            </w:pPr>
            <w:r w:rsidRPr="00B10D24">
              <w:rPr>
                <w:b/>
                <w:color w:val="000000" w:themeColor="text1"/>
                <w:sz w:val="17"/>
                <w:szCs w:val="17"/>
                <w:lang w:val="en-GB"/>
              </w:rPr>
              <w:t>12</w:t>
            </w:r>
          </w:p>
        </w:tc>
        <w:tc>
          <w:tcPr>
            <w:tcW w:w="888" w:type="dxa"/>
            <w:shd w:val="clear" w:color="auto" w:fill="auto"/>
            <w:vAlign w:val="bottom"/>
          </w:tcPr>
          <w:p w14:paraId="64BE88FB" w14:textId="77777777" w:rsidR="0016696A" w:rsidRPr="00B10D24" w:rsidRDefault="0016696A" w:rsidP="00674BD1">
            <w:pPr>
              <w:keepNext/>
              <w:keepLines/>
              <w:tabs>
                <w:tab w:val="left" w:pos="288"/>
                <w:tab w:val="left" w:pos="576"/>
                <w:tab w:val="left" w:pos="864"/>
                <w:tab w:val="left" w:pos="1152"/>
              </w:tabs>
              <w:spacing w:before="40" w:after="40" w:line="210" w:lineRule="exact"/>
              <w:ind w:left="144" w:right="43"/>
              <w:jc w:val="right"/>
              <w:rPr>
                <w:b/>
                <w:sz w:val="17"/>
                <w:lang w:val="en-GB"/>
              </w:rPr>
            </w:pPr>
            <w:r w:rsidRPr="00B10D24">
              <w:rPr>
                <w:b/>
                <w:color w:val="000000" w:themeColor="text1"/>
                <w:sz w:val="17"/>
                <w:lang w:val="en-GB"/>
              </w:rPr>
              <w:t>5</w:t>
            </w:r>
          </w:p>
        </w:tc>
      </w:tr>
      <w:tr w:rsidR="0016696A" w:rsidRPr="00B10D24" w14:paraId="6048AC6A" w14:textId="77777777" w:rsidTr="00206464">
        <w:tc>
          <w:tcPr>
            <w:tcW w:w="6300" w:type="dxa"/>
            <w:shd w:val="clear" w:color="auto" w:fill="auto"/>
            <w:vAlign w:val="bottom"/>
          </w:tcPr>
          <w:p w14:paraId="3BB679AC" w14:textId="77777777" w:rsidR="0016696A" w:rsidRPr="00B10D24" w:rsidRDefault="0016696A" w:rsidP="00674BD1">
            <w:pPr>
              <w:keepNext/>
              <w:keepLines/>
              <w:tabs>
                <w:tab w:val="left" w:pos="288"/>
                <w:tab w:val="left" w:pos="576"/>
                <w:tab w:val="left" w:pos="864"/>
                <w:tab w:val="left" w:pos="1152"/>
              </w:tabs>
              <w:spacing w:before="40" w:after="40" w:line="210" w:lineRule="exact"/>
              <w:ind w:left="576" w:right="43" w:hanging="576"/>
              <w:rPr>
                <w:sz w:val="17"/>
                <w:lang w:val="en-GB"/>
              </w:rPr>
            </w:pPr>
            <w:r w:rsidRPr="00B10D24">
              <w:rPr>
                <w:sz w:val="17"/>
                <w:lang w:val="en-GB"/>
              </w:rPr>
              <w:tab/>
              <w:t>14.</w:t>
            </w:r>
            <w:r w:rsidRPr="00B10D24">
              <w:rPr>
                <w:sz w:val="17"/>
                <w:lang w:val="en-GB"/>
              </w:rPr>
              <w:tab/>
              <w:t>Series or set of technical materials on improved resource efficiency and protection of ecological assets, including sectoral materials</w:t>
            </w:r>
          </w:p>
        </w:tc>
        <w:tc>
          <w:tcPr>
            <w:tcW w:w="887" w:type="dxa"/>
            <w:shd w:val="clear" w:color="auto" w:fill="auto"/>
            <w:vAlign w:val="bottom"/>
          </w:tcPr>
          <w:p w14:paraId="62668FA1" w14:textId="77777777" w:rsidR="0016696A" w:rsidRPr="00B10D24" w:rsidRDefault="0016696A" w:rsidP="00674BD1">
            <w:pPr>
              <w:keepNext/>
              <w:keepLines/>
              <w:tabs>
                <w:tab w:val="left" w:pos="288"/>
                <w:tab w:val="left" w:pos="576"/>
                <w:tab w:val="left" w:pos="864"/>
                <w:tab w:val="left" w:pos="1152"/>
              </w:tabs>
              <w:spacing w:before="40" w:after="40" w:line="210" w:lineRule="exact"/>
              <w:ind w:left="144" w:right="43"/>
              <w:jc w:val="right"/>
              <w:rPr>
                <w:sz w:val="17"/>
                <w:lang w:val="en-GB"/>
              </w:rPr>
            </w:pPr>
            <w:r w:rsidRPr="00B10D24">
              <w:rPr>
                <w:color w:val="000000" w:themeColor="text1"/>
                <w:sz w:val="17"/>
                <w:lang w:val="en-GB"/>
              </w:rPr>
              <w:t>2</w:t>
            </w:r>
          </w:p>
        </w:tc>
        <w:tc>
          <w:tcPr>
            <w:tcW w:w="888" w:type="dxa"/>
            <w:shd w:val="clear" w:color="auto" w:fill="auto"/>
            <w:vAlign w:val="bottom"/>
          </w:tcPr>
          <w:p w14:paraId="13A0ECA8" w14:textId="77777777" w:rsidR="0016696A" w:rsidRPr="00B10D24" w:rsidRDefault="0016696A" w:rsidP="00674BD1">
            <w:pPr>
              <w:keepNext/>
              <w:keepLines/>
              <w:tabs>
                <w:tab w:val="left" w:pos="288"/>
                <w:tab w:val="left" w:pos="576"/>
                <w:tab w:val="left" w:pos="864"/>
                <w:tab w:val="left" w:pos="1152"/>
              </w:tabs>
              <w:spacing w:before="40" w:after="40" w:line="210" w:lineRule="exact"/>
              <w:ind w:left="144" w:right="43"/>
              <w:jc w:val="right"/>
              <w:rPr>
                <w:sz w:val="17"/>
                <w:lang w:val="en-GB"/>
              </w:rPr>
            </w:pPr>
            <w:r w:rsidRPr="00B10D24">
              <w:rPr>
                <w:color w:val="000000" w:themeColor="text1"/>
                <w:sz w:val="17"/>
                <w:szCs w:val="17"/>
                <w:lang w:val="en-GB"/>
              </w:rPr>
              <w:t>2</w:t>
            </w:r>
          </w:p>
        </w:tc>
        <w:tc>
          <w:tcPr>
            <w:tcW w:w="887" w:type="dxa"/>
            <w:shd w:val="clear" w:color="auto" w:fill="auto"/>
            <w:vAlign w:val="bottom"/>
          </w:tcPr>
          <w:p w14:paraId="1FA3A25B" w14:textId="77777777" w:rsidR="0016696A" w:rsidRPr="00B10D24" w:rsidRDefault="0016696A" w:rsidP="00674BD1">
            <w:pPr>
              <w:keepNext/>
              <w:keepLines/>
              <w:tabs>
                <w:tab w:val="left" w:pos="288"/>
                <w:tab w:val="left" w:pos="576"/>
                <w:tab w:val="left" w:pos="864"/>
                <w:tab w:val="left" w:pos="1152"/>
              </w:tabs>
              <w:spacing w:before="40" w:after="40" w:line="210" w:lineRule="exact"/>
              <w:ind w:left="144" w:right="43"/>
              <w:jc w:val="right"/>
              <w:rPr>
                <w:sz w:val="17"/>
                <w:lang w:val="en-GB"/>
              </w:rPr>
            </w:pPr>
            <w:r w:rsidRPr="00B10D24">
              <w:rPr>
                <w:color w:val="000000" w:themeColor="text1"/>
                <w:sz w:val="17"/>
                <w:szCs w:val="17"/>
                <w:lang w:val="en-GB"/>
              </w:rPr>
              <w:t>2</w:t>
            </w:r>
          </w:p>
        </w:tc>
        <w:tc>
          <w:tcPr>
            <w:tcW w:w="888" w:type="dxa"/>
            <w:shd w:val="clear" w:color="auto" w:fill="auto"/>
            <w:vAlign w:val="bottom"/>
          </w:tcPr>
          <w:p w14:paraId="63982ECF" w14:textId="77777777" w:rsidR="0016696A" w:rsidRPr="00B10D24" w:rsidRDefault="0016696A" w:rsidP="00674BD1">
            <w:pPr>
              <w:keepNext/>
              <w:keepLines/>
              <w:tabs>
                <w:tab w:val="left" w:pos="288"/>
                <w:tab w:val="left" w:pos="576"/>
                <w:tab w:val="left" w:pos="864"/>
                <w:tab w:val="left" w:pos="1152"/>
              </w:tabs>
              <w:spacing w:before="40" w:after="40" w:line="210" w:lineRule="exact"/>
              <w:ind w:left="144" w:right="43"/>
              <w:jc w:val="right"/>
              <w:rPr>
                <w:sz w:val="17"/>
                <w:lang w:val="en-GB"/>
              </w:rPr>
            </w:pPr>
            <w:r w:rsidRPr="00B10D24">
              <w:rPr>
                <w:color w:val="000000" w:themeColor="text1"/>
                <w:sz w:val="17"/>
                <w:lang w:val="en-GB"/>
              </w:rPr>
              <w:t>1</w:t>
            </w:r>
          </w:p>
        </w:tc>
      </w:tr>
      <w:tr w:rsidR="0016696A" w:rsidRPr="00B10D24" w14:paraId="737DE669" w14:textId="77777777" w:rsidTr="00206464">
        <w:tc>
          <w:tcPr>
            <w:tcW w:w="6300" w:type="dxa"/>
            <w:shd w:val="clear" w:color="auto" w:fill="auto"/>
            <w:vAlign w:val="bottom"/>
          </w:tcPr>
          <w:p w14:paraId="5F0B49F4"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15.</w:t>
            </w:r>
            <w:r w:rsidRPr="00B10D24">
              <w:rPr>
                <w:sz w:val="17"/>
                <w:lang w:val="en-GB"/>
              </w:rPr>
              <w:tab/>
              <w:t>Series of technical materials on climate change mitigation and air quality</w:t>
            </w:r>
          </w:p>
        </w:tc>
        <w:tc>
          <w:tcPr>
            <w:tcW w:w="887" w:type="dxa"/>
            <w:shd w:val="clear" w:color="auto" w:fill="auto"/>
            <w:vAlign w:val="bottom"/>
          </w:tcPr>
          <w:p w14:paraId="4F21019D"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2</w:t>
            </w:r>
          </w:p>
        </w:tc>
        <w:tc>
          <w:tcPr>
            <w:tcW w:w="888" w:type="dxa"/>
            <w:shd w:val="clear" w:color="auto" w:fill="auto"/>
            <w:vAlign w:val="bottom"/>
          </w:tcPr>
          <w:p w14:paraId="4047B40F"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2</w:t>
            </w:r>
          </w:p>
        </w:tc>
        <w:tc>
          <w:tcPr>
            <w:tcW w:w="887" w:type="dxa"/>
            <w:shd w:val="clear" w:color="auto" w:fill="auto"/>
            <w:vAlign w:val="bottom"/>
          </w:tcPr>
          <w:p w14:paraId="19D37CFE"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szCs w:val="17"/>
                <w:lang w:val="en-GB"/>
              </w:rPr>
              <w:t>3</w:t>
            </w:r>
          </w:p>
        </w:tc>
        <w:tc>
          <w:tcPr>
            <w:tcW w:w="888" w:type="dxa"/>
            <w:shd w:val="clear" w:color="auto" w:fill="auto"/>
            <w:vAlign w:val="bottom"/>
          </w:tcPr>
          <w:p w14:paraId="616ED212"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color w:val="000000" w:themeColor="text1"/>
                <w:sz w:val="17"/>
                <w:lang w:val="en-GB"/>
              </w:rPr>
              <w:t>1</w:t>
            </w:r>
          </w:p>
        </w:tc>
      </w:tr>
      <w:tr w:rsidR="0016696A" w:rsidRPr="00B10D24" w14:paraId="1D963C8E" w14:textId="77777777" w:rsidTr="00206464">
        <w:tc>
          <w:tcPr>
            <w:tcW w:w="6300" w:type="dxa"/>
            <w:shd w:val="clear" w:color="auto" w:fill="auto"/>
            <w:vAlign w:val="bottom"/>
          </w:tcPr>
          <w:p w14:paraId="3FFD3D3C"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16.</w:t>
            </w:r>
            <w:r w:rsidRPr="00B10D24">
              <w:rPr>
                <w:sz w:val="17"/>
                <w:lang w:val="en-GB"/>
              </w:rPr>
              <w:tab/>
              <w:t>Series or set of non-recurrent case studies on climate action, basic services or environment in human settlements</w:t>
            </w:r>
          </w:p>
        </w:tc>
        <w:tc>
          <w:tcPr>
            <w:tcW w:w="887" w:type="dxa"/>
            <w:shd w:val="clear" w:color="auto" w:fill="auto"/>
            <w:vAlign w:val="bottom"/>
          </w:tcPr>
          <w:p w14:paraId="712300A2"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2</w:t>
            </w:r>
          </w:p>
        </w:tc>
        <w:tc>
          <w:tcPr>
            <w:tcW w:w="888" w:type="dxa"/>
            <w:shd w:val="clear" w:color="auto" w:fill="auto"/>
            <w:vAlign w:val="bottom"/>
          </w:tcPr>
          <w:p w14:paraId="66DC3EE2"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2</w:t>
            </w:r>
          </w:p>
        </w:tc>
        <w:tc>
          <w:tcPr>
            <w:tcW w:w="887" w:type="dxa"/>
            <w:shd w:val="clear" w:color="auto" w:fill="auto"/>
            <w:vAlign w:val="bottom"/>
          </w:tcPr>
          <w:p w14:paraId="2A656401"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3</w:t>
            </w:r>
          </w:p>
        </w:tc>
        <w:tc>
          <w:tcPr>
            <w:tcW w:w="888" w:type="dxa"/>
            <w:shd w:val="clear" w:color="auto" w:fill="auto"/>
            <w:vAlign w:val="bottom"/>
          </w:tcPr>
          <w:p w14:paraId="0EBA5687"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1</w:t>
            </w:r>
          </w:p>
        </w:tc>
      </w:tr>
      <w:tr w:rsidR="0016696A" w:rsidRPr="00B10D24" w14:paraId="70AAC5F0" w14:textId="77777777" w:rsidTr="00206464">
        <w:trPr>
          <w:cantSplit/>
        </w:trPr>
        <w:tc>
          <w:tcPr>
            <w:tcW w:w="6300" w:type="dxa"/>
            <w:shd w:val="clear" w:color="auto" w:fill="auto"/>
            <w:vAlign w:val="bottom"/>
          </w:tcPr>
          <w:p w14:paraId="279DE050"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17.</w:t>
            </w:r>
            <w:r w:rsidRPr="00B10D24">
              <w:rPr>
                <w:sz w:val="17"/>
                <w:lang w:val="en-GB"/>
              </w:rPr>
              <w:tab/>
              <w:t>Series of non-recurrent compilations of national, regional and local guidelines, plans, coordination mechanisms and strategies on climate action, the urban environment, ecosystems and biodiversity, blue-green networks, ecological assets and ecosystem services</w:t>
            </w:r>
          </w:p>
        </w:tc>
        <w:tc>
          <w:tcPr>
            <w:tcW w:w="887" w:type="dxa"/>
            <w:shd w:val="clear" w:color="auto" w:fill="auto"/>
            <w:vAlign w:val="bottom"/>
          </w:tcPr>
          <w:p w14:paraId="6EB336E6"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1</w:t>
            </w:r>
          </w:p>
        </w:tc>
        <w:tc>
          <w:tcPr>
            <w:tcW w:w="888" w:type="dxa"/>
            <w:shd w:val="clear" w:color="auto" w:fill="auto"/>
            <w:vAlign w:val="bottom"/>
          </w:tcPr>
          <w:p w14:paraId="6C4E0D96"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1</w:t>
            </w:r>
          </w:p>
        </w:tc>
        <w:tc>
          <w:tcPr>
            <w:tcW w:w="887" w:type="dxa"/>
            <w:shd w:val="clear" w:color="auto" w:fill="auto"/>
            <w:vAlign w:val="bottom"/>
          </w:tcPr>
          <w:p w14:paraId="096C3366"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2</w:t>
            </w:r>
          </w:p>
        </w:tc>
        <w:tc>
          <w:tcPr>
            <w:tcW w:w="888" w:type="dxa"/>
            <w:shd w:val="clear" w:color="auto" w:fill="auto"/>
            <w:vAlign w:val="bottom"/>
          </w:tcPr>
          <w:p w14:paraId="16FC85EE"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1</w:t>
            </w:r>
          </w:p>
        </w:tc>
      </w:tr>
      <w:tr w:rsidR="0016696A" w:rsidRPr="00B10D24" w14:paraId="1DD4649F" w14:textId="77777777" w:rsidTr="00206464">
        <w:tc>
          <w:tcPr>
            <w:tcW w:w="6300" w:type="dxa"/>
            <w:shd w:val="clear" w:color="auto" w:fill="auto"/>
            <w:vAlign w:val="bottom"/>
          </w:tcPr>
          <w:p w14:paraId="62787728" w14:textId="77777777" w:rsidR="0016696A" w:rsidRPr="00B10D24" w:rsidRDefault="0016696A" w:rsidP="00206464">
            <w:pPr>
              <w:tabs>
                <w:tab w:val="left" w:pos="288"/>
                <w:tab w:val="left" w:pos="576"/>
                <w:tab w:val="left" w:pos="864"/>
                <w:tab w:val="left" w:pos="1152"/>
              </w:tabs>
              <w:spacing w:before="40" w:after="40" w:line="210" w:lineRule="exact"/>
              <w:ind w:left="576" w:right="40" w:hanging="576"/>
              <w:rPr>
                <w:sz w:val="17"/>
                <w:lang w:val="en-GB"/>
              </w:rPr>
            </w:pPr>
            <w:r w:rsidRPr="00B10D24">
              <w:rPr>
                <w:sz w:val="17"/>
                <w:lang w:val="en-GB"/>
              </w:rPr>
              <w:tab/>
              <w:t>18.</w:t>
            </w:r>
            <w:r w:rsidRPr="00B10D24">
              <w:rPr>
                <w:sz w:val="17"/>
                <w:lang w:val="en-GB"/>
              </w:rPr>
              <w:tab/>
              <w:t>Series of technical materials on improved low-carbon urban services, resource efficiency and (electric) mobility solutions and infrastructure (including monitoring)</w:t>
            </w:r>
          </w:p>
        </w:tc>
        <w:tc>
          <w:tcPr>
            <w:tcW w:w="887" w:type="dxa"/>
            <w:shd w:val="clear" w:color="auto" w:fill="auto"/>
            <w:vAlign w:val="bottom"/>
          </w:tcPr>
          <w:p w14:paraId="428013D2"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2</w:t>
            </w:r>
          </w:p>
        </w:tc>
        <w:tc>
          <w:tcPr>
            <w:tcW w:w="888" w:type="dxa"/>
            <w:shd w:val="clear" w:color="auto" w:fill="auto"/>
            <w:vAlign w:val="bottom"/>
          </w:tcPr>
          <w:p w14:paraId="46853468"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2</w:t>
            </w:r>
          </w:p>
        </w:tc>
        <w:tc>
          <w:tcPr>
            <w:tcW w:w="887" w:type="dxa"/>
            <w:shd w:val="clear" w:color="auto" w:fill="auto"/>
            <w:vAlign w:val="bottom"/>
          </w:tcPr>
          <w:p w14:paraId="7F3860CE"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2</w:t>
            </w:r>
          </w:p>
        </w:tc>
        <w:tc>
          <w:tcPr>
            <w:tcW w:w="888" w:type="dxa"/>
            <w:shd w:val="clear" w:color="auto" w:fill="auto"/>
            <w:vAlign w:val="bottom"/>
          </w:tcPr>
          <w:p w14:paraId="30E6B5AC" w14:textId="77777777" w:rsidR="0016696A" w:rsidRPr="00B10D24" w:rsidRDefault="0016696A" w:rsidP="00206464">
            <w:pPr>
              <w:tabs>
                <w:tab w:val="left" w:pos="288"/>
                <w:tab w:val="left" w:pos="576"/>
                <w:tab w:val="left" w:pos="864"/>
                <w:tab w:val="left" w:pos="1152"/>
              </w:tabs>
              <w:spacing w:before="40" w:after="40" w:line="210" w:lineRule="exact"/>
              <w:ind w:left="144" w:right="40"/>
              <w:jc w:val="right"/>
              <w:rPr>
                <w:sz w:val="17"/>
                <w:lang w:val="en-GB"/>
              </w:rPr>
            </w:pPr>
            <w:r w:rsidRPr="00B10D24">
              <w:rPr>
                <w:sz w:val="17"/>
                <w:lang w:val="en-GB"/>
              </w:rPr>
              <w:t>1</w:t>
            </w:r>
          </w:p>
        </w:tc>
      </w:tr>
      <w:tr w:rsidR="0016696A" w:rsidRPr="00B10D24" w14:paraId="3D76713B" w14:textId="77777777" w:rsidTr="00206464">
        <w:tc>
          <w:tcPr>
            <w:tcW w:w="9850" w:type="dxa"/>
            <w:gridSpan w:val="5"/>
            <w:shd w:val="clear" w:color="auto" w:fill="auto"/>
            <w:vAlign w:val="bottom"/>
          </w:tcPr>
          <w:p w14:paraId="7824F921" w14:textId="77777777" w:rsidR="0016696A" w:rsidRPr="00B10D24" w:rsidRDefault="0016696A" w:rsidP="00206464">
            <w:pPr>
              <w:tabs>
                <w:tab w:val="left" w:pos="288"/>
                <w:tab w:val="left" w:pos="576"/>
                <w:tab w:val="left" w:pos="864"/>
                <w:tab w:val="left" w:pos="1152"/>
              </w:tabs>
              <w:spacing w:before="40" w:after="40" w:line="210" w:lineRule="exact"/>
              <w:ind w:right="40"/>
              <w:rPr>
                <w:b/>
                <w:sz w:val="17"/>
                <w:lang w:val="en-GB"/>
              </w:rPr>
            </w:pPr>
            <w:r w:rsidRPr="00B10D24">
              <w:rPr>
                <w:b/>
                <w:sz w:val="17"/>
                <w:lang w:val="en-GB"/>
              </w:rPr>
              <w:t>C.</w:t>
            </w:r>
            <w:r w:rsidRPr="00B10D24">
              <w:rPr>
                <w:b/>
                <w:sz w:val="17"/>
                <w:lang w:val="en-GB"/>
              </w:rPr>
              <w:tab/>
              <w:t>Substantive deliverables</w:t>
            </w:r>
          </w:p>
        </w:tc>
      </w:tr>
      <w:tr w:rsidR="0016696A" w:rsidRPr="00B10D24" w14:paraId="2D680C91" w14:textId="77777777" w:rsidTr="00206464">
        <w:tc>
          <w:tcPr>
            <w:tcW w:w="9850" w:type="dxa"/>
            <w:gridSpan w:val="5"/>
            <w:shd w:val="clear" w:color="auto" w:fill="auto"/>
            <w:vAlign w:val="bottom"/>
          </w:tcPr>
          <w:p w14:paraId="03E2C339" w14:textId="77777777" w:rsidR="0016696A" w:rsidRPr="00B10D24" w:rsidRDefault="0016696A" w:rsidP="00206464">
            <w:pPr>
              <w:tabs>
                <w:tab w:val="left" w:pos="288"/>
                <w:tab w:val="left" w:pos="576"/>
                <w:tab w:val="left" w:pos="864"/>
                <w:tab w:val="left" w:pos="1152"/>
              </w:tabs>
              <w:spacing w:before="40" w:after="40" w:line="210" w:lineRule="exact"/>
              <w:ind w:left="288" w:right="40" w:hanging="288"/>
              <w:rPr>
                <w:sz w:val="17"/>
                <w:lang w:val="en-GB"/>
              </w:rPr>
            </w:pPr>
            <w:r w:rsidRPr="00B10D24">
              <w:rPr>
                <w:b/>
                <w:sz w:val="17"/>
                <w:lang w:val="en-GB"/>
              </w:rPr>
              <w:tab/>
              <w:t>Consultation, advice and advocacy</w:t>
            </w:r>
            <w:r w:rsidRPr="00B10D24">
              <w:rPr>
                <w:sz w:val="17"/>
                <w:lang w:val="en-GB"/>
              </w:rPr>
              <w:t>: advisory services to 16 Member States on reducing urban greenhouse gas emissions to achieve climate change mitigation and adaptation, improving air quality and low-carbon urban services, improving resource efficiency and protecting ecological assets.</w:t>
            </w:r>
          </w:p>
        </w:tc>
      </w:tr>
      <w:tr w:rsidR="0016696A" w:rsidRPr="00B10D24" w14:paraId="03A0505B" w14:textId="77777777" w:rsidTr="00206464">
        <w:tc>
          <w:tcPr>
            <w:tcW w:w="9850" w:type="dxa"/>
            <w:gridSpan w:val="5"/>
            <w:shd w:val="clear" w:color="auto" w:fill="auto"/>
            <w:vAlign w:val="bottom"/>
          </w:tcPr>
          <w:p w14:paraId="0BB6EC9F" w14:textId="77777777" w:rsidR="0016696A" w:rsidRPr="00B10D24" w:rsidRDefault="0016696A" w:rsidP="00206464">
            <w:pPr>
              <w:tabs>
                <w:tab w:val="left" w:pos="288"/>
                <w:tab w:val="left" w:pos="576"/>
                <w:tab w:val="left" w:pos="864"/>
                <w:tab w:val="left" w:pos="1152"/>
              </w:tabs>
              <w:spacing w:before="40" w:after="40" w:line="210" w:lineRule="exact"/>
              <w:ind w:left="288" w:right="40" w:hanging="288"/>
              <w:rPr>
                <w:sz w:val="17"/>
                <w:lang w:val="en-GB"/>
              </w:rPr>
            </w:pPr>
            <w:r w:rsidRPr="00B10D24">
              <w:rPr>
                <w:b/>
                <w:sz w:val="17"/>
                <w:lang w:val="en-GB"/>
              </w:rPr>
              <w:tab/>
              <w:t>Databases and substantive digital materials</w:t>
            </w:r>
            <w:r w:rsidRPr="00B10D24">
              <w:rPr>
                <w:sz w:val="17"/>
                <w:lang w:val="en-GB"/>
              </w:rPr>
              <w:t>: databases on urban climate- or environment-relevant subjects, and substantive digital materials (i.e., simulations) on reduced greenhouse gas emissions and improved air quality; improved resource efficiency and protection of ecological assets, effective adaptation of communities and infrastructure to climate change.</w:t>
            </w:r>
          </w:p>
        </w:tc>
      </w:tr>
      <w:tr w:rsidR="0016696A" w:rsidRPr="00B10D24" w14:paraId="3DF2C3A3" w14:textId="77777777" w:rsidTr="00206464">
        <w:tc>
          <w:tcPr>
            <w:tcW w:w="9850" w:type="dxa"/>
            <w:gridSpan w:val="5"/>
            <w:shd w:val="clear" w:color="auto" w:fill="auto"/>
            <w:vAlign w:val="bottom"/>
          </w:tcPr>
          <w:p w14:paraId="38375633" w14:textId="77777777" w:rsidR="0016696A" w:rsidRPr="00B10D24" w:rsidRDefault="0016696A" w:rsidP="00206464">
            <w:pPr>
              <w:tabs>
                <w:tab w:val="left" w:pos="288"/>
                <w:tab w:val="left" w:pos="576"/>
                <w:tab w:val="left" w:pos="864"/>
                <w:tab w:val="left" w:pos="1152"/>
              </w:tabs>
              <w:spacing w:before="40" w:after="40" w:line="210" w:lineRule="exact"/>
              <w:ind w:right="40"/>
              <w:rPr>
                <w:b/>
                <w:sz w:val="17"/>
                <w:lang w:val="en-GB"/>
              </w:rPr>
            </w:pPr>
            <w:r w:rsidRPr="00B10D24">
              <w:rPr>
                <w:b/>
                <w:sz w:val="17"/>
                <w:lang w:val="en-GB"/>
              </w:rPr>
              <w:t>D.</w:t>
            </w:r>
            <w:r w:rsidRPr="00B10D24">
              <w:rPr>
                <w:b/>
                <w:sz w:val="17"/>
                <w:lang w:val="en-GB"/>
              </w:rPr>
              <w:tab/>
              <w:t>Communication deliverables</w:t>
            </w:r>
          </w:p>
        </w:tc>
      </w:tr>
      <w:tr w:rsidR="0016696A" w:rsidRPr="00B10D24" w14:paraId="574BF812" w14:textId="77777777" w:rsidTr="00206464">
        <w:tc>
          <w:tcPr>
            <w:tcW w:w="9850" w:type="dxa"/>
            <w:gridSpan w:val="5"/>
            <w:shd w:val="clear" w:color="auto" w:fill="auto"/>
            <w:vAlign w:val="bottom"/>
          </w:tcPr>
          <w:p w14:paraId="25480747" w14:textId="77777777" w:rsidR="0016696A" w:rsidRPr="00B10D24" w:rsidRDefault="0016696A" w:rsidP="00206464">
            <w:pPr>
              <w:tabs>
                <w:tab w:val="left" w:pos="288"/>
                <w:tab w:val="left" w:pos="576"/>
                <w:tab w:val="left" w:pos="864"/>
                <w:tab w:val="left" w:pos="1152"/>
              </w:tabs>
              <w:spacing w:before="40" w:after="40" w:line="210" w:lineRule="exact"/>
              <w:ind w:left="288" w:right="40" w:hanging="288"/>
              <w:rPr>
                <w:sz w:val="17"/>
                <w:lang w:val="en-GB"/>
              </w:rPr>
            </w:pPr>
            <w:r w:rsidRPr="00B10D24">
              <w:rPr>
                <w:sz w:val="17"/>
                <w:lang w:val="en-GB"/>
              </w:rPr>
              <w:tab/>
            </w:r>
            <w:r w:rsidRPr="00B10D24">
              <w:rPr>
                <w:b/>
                <w:bCs/>
                <w:sz w:val="17"/>
                <w:lang w:val="en-GB"/>
              </w:rPr>
              <w:t>Outreach programmes, special events and information materials</w:t>
            </w:r>
            <w:r w:rsidRPr="00B10D24">
              <w:rPr>
                <w:sz w:val="17"/>
                <w:lang w:val="en-GB"/>
              </w:rPr>
              <w:t>: on reduced greenhouse gas emissions and improved air quality; improved resource efficiency and protection of ecological assets; effective adaptation of communities and infrastructure to climate change with the aim of reaching an audience of 6 million.</w:t>
            </w:r>
          </w:p>
        </w:tc>
      </w:tr>
      <w:tr w:rsidR="0016696A" w:rsidRPr="00B10D24" w14:paraId="6AFB843B" w14:textId="77777777" w:rsidTr="00206464">
        <w:tc>
          <w:tcPr>
            <w:tcW w:w="9850" w:type="dxa"/>
            <w:gridSpan w:val="5"/>
            <w:shd w:val="clear" w:color="auto" w:fill="auto"/>
            <w:vAlign w:val="bottom"/>
          </w:tcPr>
          <w:p w14:paraId="1878BD1B" w14:textId="77777777" w:rsidR="0016696A" w:rsidRPr="00B10D24" w:rsidRDefault="0016696A" w:rsidP="00206464">
            <w:pPr>
              <w:tabs>
                <w:tab w:val="left" w:pos="288"/>
                <w:tab w:val="left" w:pos="576"/>
                <w:tab w:val="left" w:pos="864"/>
                <w:tab w:val="left" w:pos="1152"/>
              </w:tabs>
              <w:spacing w:before="40" w:after="40" w:line="210" w:lineRule="exact"/>
              <w:ind w:left="288" w:right="40" w:hanging="288"/>
              <w:rPr>
                <w:sz w:val="17"/>
                <w:lang w:val="en-GB"/>
              </w:rPr>
            </w:pPr>
            <w:r w:rsidRPr="00B10D24">
              <w:rPr>
                <w:sz w:val="17"/>
                <w:lang w:val="en-GB"/>
              </w:rPr>
              <w:tab/>
            </w:r>
            <w:r w:rsidRPr="00B10D24">
              <w:rPr>
                <w:b/>
                <w:bCs/>
                <w:sz w:val="17"/>
                <w:lang w:val="en-GB"/>
              </w:rPr>
              <w:t>External and media relations</w:t>
            </w:r>
            <w:r w:rsidRPr="00B10D24">
              <w:rPr>
                <w:sz w:val="17"/>
                <w:lang w:val="en-GB"/>
              </w:rPr>
              <w:t>: articles on reduced greenhouse gas emissions and improved air quality, improved resource efficiency and protection of ecological assets and effective adaptation of communities and infrastructure to climate change.</w:t>
            </w:r>
          </w:p>
        </w:tc>
      </w:tr>
      <w:tr w:rsidR="0016696A" w:rsidRPr="00B10D24" w14:paraId="59469C7B" w14:textId="77777777" w:rsidTr="00206464">
        <w:tc>
          <w:tcPr>
            <w:tcW w:w="9850" w:type="dxa"/>
            <w:gridSpan w:val="5"/>
            <w:tcBorders>
              <w:bottom w:val="single" w:sz="12" w:space="0" w:color="auto"/>
            </w:tcBorders>
            <w:shd w:val="clear" w:color="auto" w:fill="auto"/>
            <w:vAlign w:val="bottom"/>
          </w:tcPr>
          <w:p w14:paraId="4E0CB9F4" w14:textId="77777777" w:rsidR="0016696A" w:rsidRPr="00B10D24" w:rsidRDefault="0016696A" w:rsidP="00206464">
            <w:pPr>
              <w:tabs>
                <w:tab w:val="left" w:pos="288"/>
                <w:tab w:val="left" w:pos="576"/>
                <w:tab w:val="left" w:pos="864"/>
                <w:tab w:val="left" w:pos="1152"/>
              </w:tabs>
              <w:spacing w:before="40" w:after="40" w:line="210" w:lineRule="exact"/>
              <w:ind w:left="288" w:right="40" w:hanging="288"/>
              <w:rPr>
                <w:sz w:val="17"/>
                <w:lang w:val="en-GB"/>
              </w:rPr>
            </w:pPr>
            <w:r w:rsidRPr="00B10D24">
              <w:rPr>
                <w:sz w:val="17"/>
                <w:lang w:val="en-GB"/>
              </w:rPr>
              <w:tab/>
            </w:r>
            <w:r w:rsidRPr="00B10D24">
              <w:rPr>
                <w:b/>
                <w:bCs/>
                <w:sz w:val="17"/>
                <w:lang w:val="en-GB"/>
              </w:rPr>
              <w:t>Digital platforms and multimedia content</w:t>
            </w:r>
            <w:r w:rsidRPr="00B10D24">
              <w:rPr>
                <w:sz w:val="17"/>
                <w:lang w:val="en-GB"/>
              </w:rPr>
              <w:t>: websites and social media and multimedia content on reduced greenhouse gas emissions and improved air quality, improved resource efficiency and protection of ecological assets and effective adaptation of communities and infrastructure to climate change.</w:t>
            </w:r>
          </w:p>
        </w:tc>
      </w:tr>
    </w:tbl>
    <w:p w14:paraId="04EE0888"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ACA07D2" w14:textId="455D9279" w:rsidR="0016696A" w:rsidRPr="00B10D24" w:rsidRDefault="0016696A" w:rsidP="0016696A">
      <w:pPr>
        <w:pStyle w:val="FootnoteText"/>
        <w:tabs>
          <w:tab w:val="clear" w:pos="418"/>
          <w:tab w:val="right" w:pos="216"/>
          <w:tab w:val="left" w:pos="288"/>
          <w:tab w:val="right" w:pos="576"/>
          <w:tab w:val="left" w:pos="648"/>
        </w:tabs>
        <w:ind w:left="288" w:hanging="288"/>
      </w:pPr>
      <w:r w:rsidRPr="00B10D24">
        <w:tab/>
      </w:r>
      <w:r w:rsidRPr="00B10D24">
        <w:rPr>
          <w:i/>
          <w:iCs/>
          <w:vertAlign w:val="superscript"/>
        </w:rPr>
        <w:t>a</w:t>
      </w:r>
      <w:r w:rsidRPr="00B10D24">
        <w:tab/>
      </w:r>
      <w:r w:rsidRPr="00B10D24">
        <w:tab/>
        <w:t>The 2022 planned deliverables, to be funded from the Foundation non-earmarked fund, have been adjusted downward, taking into account the resources approved by the Executive Board of $10.0 million for 2021 and a budget ceiling figure of $12.0</w:t>
      </w:r>
      <w:r w:rsidR="002D4D92">
        <w:t> </w:t>
      </w:r>
      <w:r w:rsidRPr="00B10D24">
        <w:t>million in 2022, as shown in table 15.14.</w:t>
      </w:r>
    </w:p>
    <w:p w14:paraId="739AE8E4" w14:textId="77777777" w:rsidR="0016696A" w:rsidRPr="00B10D24" w:rsidRDefault="0016696A" w:rsidP="0016696A">
      <w:pPr>
        <w:pStyle w:val="FootnoteText"/>
        <w:tabs>
          <w:tab w:val="clear" w:pos="418"/>
          <w:tab w:val="right" w:pos="216"/>
          <w:tab w:val="left" w:pos="288"/>
          <w:tab w:val="right" w:pos="576"/>
          <w:tab w:val="left" w:pos="648"/>
        </w:tabs>
        <w:spacing w:line="120" w:lineRule="exact"/>
        <w:ind w:left="288" w:hanging="288"/>
        <w:rPr>
          <w:sz w:val="10"/>
        </w:rPr>
      </w:pPr>
    </w:p>
    <w:p w14:paraId="18E5585C" w14:textId="77777777" w:rsidR="0016696A" w:rsidRPr="00B10D24" w:rsidRDefault="0016696A" w:rsidP="0016696A">
      <w:pPr>
        <w:pStyle w:val="FootnoteText"/>
        <w:tabs>
          <w:tab w:val="clear" w:pos="418"/>
          <w:tab w:val="right" w:pos="216"/>
          <w:tab w:val="left" w:pos="288"/>
          <w:tab w:val="right" w:pos="576"/>
          <w:tab w:val="left" w:pos="648"/>
        </w:tabs>
        <w:spacing w:line="120" w:lineRule="exact"/>
        <w:ind w:left="288" w:hanging="288"/>
        <w:rPr>
          <w:sz w:val="10"/>
        </w:rPr>
      </w:pPr>
    </w:p>
    <w:p w14:paraId="317B79B2" w14:textId="77777777" w:rsidR="0016696A" w:rsidRPr="00B10D24" w:rsidRDefault="0016696A" w:rsidP="0016696A">
      <w:pPr>
        <w:pStyle w:val="FootnoteText"/>
        <w:tabs>
          <w:tab w:val="clear" w:pos="418"/>
          <w:tab w:val="right" w:pos="216"/>
          <w:tab w:val="left" w:pos="288"/>
          <w:tab w:val="right" w:pos="576"/>
          <w:tab w:val="left" w:pos="648"/>
        </w:tabs>
        <w:spacing w:line="120" w:lineRule="exact"/>
        <w:ind w:left="288" w:hanging="288"/>
        <w:rPr>
          <w:sz w:val="10"/>
        </w:rPr>
      </w:pPr>
    </w:p>
    <w:p w14:paraId="68F864F3" w14:textId="77777777" w:rsidR="0016696A" w:rsidRPr="00B10D24" w:rsidRDefault="0016696A" w:rsidP="0016696A">
      <w:pPr>
        <w:pStyle w:val="H1"/>
        <w:ind w:right="1260"/>
      </w:pPr>
      <w:r w:rsidRPr="00B10D24">
        <w:tab/>
      </w:r>
      <w:r w:rsidRPr="00B10D24">
        <w:tab/>
        <w:t>Subprogramme 4</w:t>
      </w:r>
    </w:p>
    <w:p w14:paraId="1C459C77" w14:textId="77777777" w:rsidR="0016696A" w:rsidRPr="00B10D24" w:rsidRDefault="0016696A" w:rsidP="0016696A">
      <w:pPr>
        <w:pStyle w:val="H1"/>
        <w:ind w:right="1260"/>
      </w:pPr>
      <w:r w:rsidRPr="00B10D24">
        <w:tab/>
      </w:r>
      <w:r w:rsidRPr="00B10D24">
        <w:tab/>
        <w:t>Effective urban crisis prevention and response</w:t>
      </w:r>
    </w:p>
    <w:p w14:paraId="35904112" w14:textId="77777777" w:rsidR="0016696A" w:rsidRPr="00B10D24" w:rsidRDefault="0016696A" w:rsidP="0016696A">
      <w:pPr>
        <w:pStyle w:val="SingleTxt"/>
        <w:spacing w:after="0" w:line="120" w:lineRule="exact"/>
        <w:rPr>
          <w:sz w:val="10"/>
        </w:rPr>
      </w:pPr>
    </w:p>
    <w:p w14:paraId="7A1D2015" w14:textId="77777777" w:rsidR="0016696A" w:rsidRPr="00B10D24" w:rsidRDefault="0016696A" w:rsidP="0016696A">
      <w:pPr>
        <w:pStyle w:val="SingleTxt"/>
        <w:spacing w:after="0" w:line="120" w:lineRule="exact"/>
        <w:rPr>
          <w:sz w:val="10"/>
        </w:rPr>
      </w:pPr>
    </w:p>
    <w:p w14:paraId="4A64CFF2" w14:textId="77777777" w:rsidR="0016696A" w:rsidRPr="00B10D24" w:rsidRDefault="0016696A" w:rsidP="0016696A">
      <w:pPr>
        <w:pStyle w:val="H1"/>
        <w:ind w:right="1260"/>
      </w:pPr>
      <w:r w:rsidRPr="00B10D24">
        <w:tab/>
      </w:r>
      <w:r w:rsidRPr="00B10D24">
        <w:tab/>
        <w:t>Objective</w:t>
      </w:r>
    </w:p>
    <w:p w14:paraId="188A5CBF" w14:textId="77777777" w:rsidR="0016696A" w:rsidRPr="00B10D24" w:rsidRDefault="0016696A" w:rsidP="0016696A">
      <w:pPr>
        <w:pStyle w:val="SingleTxt"/>
        <w:spacing w:after="0" w:line="120" w:lineRule="exact"/>
        <w:rPr>
          <w:sz w:val="10"/>
        </w:rPr>
      </w:pPr>
    </w:p>
    <w:p w14:paraId="0F14B919" w14:textId="77777777" w:rsidR="0016696A" w:rsidRPr="00B10D24" w:rsidRDefault="0016696A" w:rsidP="0016696A">
      <w:pPr>
        <w:pStyle w:val="SingleTxt"/>
        <w:spacing w:after="0" w:line="120" w:lineRule="exact"/>
        <w:rPr>
          <w:sz w:val="10"/>
        </w:rPr>
      </w:pPr>
    </w:p>
    <w:p w14:paraId="290D9FE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15.104</w:t>
      </w:r>
      <w:r w:rsidRPr="00B10D24">
        <w:tab/>
        <w:t>The objective, to which this subprogramme contributes, is to enhance urban crisis prevention and response. This is done through promoting social integration and inclusive communities as well as improved living standards and the inclusion of migrants, refugees, internally displaced persons and returnees, and enhancing resilience of the built environment and infrastructure.</w:t>
      </w:r>
    </w:p>
    <w:p w14:paraId="0ABCB7D1"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4E47E4F"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CCE44B6" w14:textId="77777777" w:rsidR="0016696A" w:rsidRPr="00B10D24" w:rsidRDefault="0016696A" w:rsidP="0016696A">
      <w:pPr>
        <w:pStyle w:val="H1"/>
        <w:ind w:right="1260"/>
      </w:pPr>
      <w:r w:rsidRPr="00B10D24">
        <w:tab/>
      </w:r>
      <w:r w:rsidRPr="00B10D24">
        <w:tab/>
        <w:t>Strategy</w:t>
      </w:r>
    </w:p>
    <w:p w14:paraId="202ED3CF" w14:textId="77777777" w:rsidR="0016696A" w:rsidRPr="00B10D24" w:rsidRDefault="0016696A" w:rsidP="0016696A">
      <w:pPr>
        <w:pStyle w:val="SingleTxt"/>
        <w:spacing w:after="0" w:line="120" w:lineRule="exact"/>
        <w:rPr>
          <w:sz w:val="10"/>
        </w:rPr>
      </w:pPr>
    </w:p>
    <w:p w14:paraId="3F806FEF" w14:textId="77777777" w:rsidR="0016696A" w:rsidRPr="00B10D24" w:rsidRDefault="0016696A" w:rsidP="0016696A">
      <w:pPr>
        <w:pStyle w:val="SingleTxt"/>
        <w:spacing w:after="0" w:line="120" w:lineRule="exact"/>
        <w:rPr>
          <w:sz w:val="10"/>
        </w:rPr>
      </w:pPr>
    </w:p>
    <w:p w14:paraId="3D530575"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15.105</w:t>
      </w:r>
      <w:r w:rsidRPr="00B10D24">
        <w:tab/>
        <w:t>To contribute to the objective, the subprogramme will support Member States in implementing strategies and actions to increase social integration and safety in public spaces through in-country comprehensive, participatory and inclusive operational programmes responding to crises affecting all members of the community, including those in vulnerable situations; and implement fit-for-</w:t>
      </w:r>
      <w:r w:rsidRPr="00B10D24">
        <w:lastRenderedPageBreak/>
        <w:t xml:space="preserve">purpose land administration towards the achievement of tenure security for all in crisis-affected areas. The subprogramme also plans to support implementation by Member States of inclusive, evidence-based, sustainable recovery approaches, such as the Programme’s “People’s Process”, a community-based planning and management process that fosters social integration, inclusiveness and transition to sustainable development, in line with the principle of “leaving no one behind” and the aim of building back better. The focus will be on elements that have a catalytic impact when integrated into broader efforts of the United Nations community in relation to promoting stability and sustaining peace, strengthening social cohesion and building resilient cities and communities, which will help Member States to make progress towards achieving target 11.b of the Sustainable Development Goals The subprogramme will continue to focus on supporting local actors as key players in increasing social cohesion between communities, reducing discrimination and xenophobia and advancing rights-based approaches in urban crisis situations. In addition, the subprogramme will complement efforts made under subprogramme 2 to increase local revenue by improving tenure security and ensuring that increased local revenue is managed locally and in a way that strengthens social integration and inclusive communities. This work helps Member States make progress towards achieving Sustainable Development Goals 9, 11 and 16. </w:t>
      </w:r>
    </w:p>
    <w:p w14:paraId="350526F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15.106</w:t>
      </w:r>
      <w:r w:rsidRPr="00B10D24">
        <w:tab/>
        <w:t>The subprogramme also plans to prioritize improved living standards and the inclusion of migrants, refugees, internally displaced persons and returnees. The subprogramme will provide urban crisis-response expertise and support integrated urban development strategies that address the needs of both host communities and the displaced, seeking to overcome both chronic and acute vulnerabilities. It will also provide expertise regarding the planning of camps as future urban extensions, in prioritized crises, and incorporate adequate urban planning standards and tenure arrangements that are suitable for the eventual transformation of camps into neighbourhoods. It will increase the focus of UN-Habitat on overcoming land-related challenges that are drivers of conflict, including by providing support in relation to housing, land and property rights in humanitarian and development contexts and advancing fit-for-purpose land administration towards the achievement of tenure security for all in crisis-affected areas. This will be done through further mobilizing United Nations efforts as set out by the Secretary-General’s guidance note on land and conflict. The subprogramme will also tailor the Programme’s normative guidance and operational support in urban displacement contexts, within the framework of the flagship programme “Inclusive cities: enhancing the positive impacts of urban migration”, in coordination and close cooperation with United Nations agencies and other key actors, and advance synergies between the humanitarian, development and peace pillars. This work helps Member States make progress towards achieving Sustainable Development Goals 1, 5, 8, 10 and 11.</w:t>
      </w:r>
    </w:p>
    <w:p w14:paraId="21B53DF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15.107</w:t>
      </w:r>
      <w:r w:rsidRPr="00B10D24">
        <w:tab/>
        <w:t>The subprogramme will continue to develop evidence-based local disaster risk reduction and resilience strategies in line with the Sendai Framework for Disaster Risk Reduction and implement disaster risk reduction and resilience strategies. The subprogramme will further develop and improve urban profiling and urban-specific recovery frameworks, tools and approaches, supporting local implementation and mobilizing networks of urban stakeholders and complementing work led by the World Bank, the European Union and UNDP at the national level. This work helps Member States make progress towards achieving Sustainable Development Goals 9, 11, 13 and 16.</w:t>
      </w:r>
    </w:p>
    <w:p w14:paraId="41179502"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15.108</w:t>
      </w:r>
      <w:r w:rsidRPr="00B10D24">
        <w:tab/>
        <w:t>The subprogramme plans to support Member States on issues related to COVID-19 by working with cities and informal settlements within cities, through both normative and operational activities, to increase their resilience to a broad range of threats, including health emergencies, and by working towards the inclusion of urban recovery in national COVID-19 recovery strategies.</w:t>
      </w:r>
    </w:p>
    <w:p w14:paraId="40BC4ADD"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15.109</w:t>
      </w:r>
      <w:r w:rsidRPr="00B10D24">
        <w:tab/>
        <w:t xml:space="preserve">The above-mentioned work is expected to result in: </w:t>
      </w:r>
    </w:p>
    <w:p w14:paraId="1290D1A9"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B10D24">
        <w:tab/>
      </w:r>
      <w:r w:rsidRPr="00B10D24">
        <w:tab/>
        <w:t>(a)</w:t>
      </w:r>
      <w:r w:rsidRPr="00B10D24">
        <w:tab/>
        <w:t xml:space="preserve">An increased proportion of the population in crisis-affected communities engaging in local decision-making with regard to reconstruction projects and improved social inclusion, strengthened land tenure and improved access to adequate housing and basic services in fragile situations; </w:t>
      </w:r>
    </w:p>
    <w:p w14:paraId="58C7FDE9"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B10D24">
        <w:lastRenderedPageBreak/>
        <w:tab/>
      </w:r>
      <w:r w:rsidRPr="00B10D24">
        <w:tab/>
        <w:t>(b)</w:t>
      </w:r>
      <w:r w:rsidRPr="00B10D24">
        <w:tab/>
        <w:t>An increased number of cities where refugees, migrants, internally displaced persons, returnees and host communities have access to secure tenure, sustainable basic services and social services, adequate housing, safety and security;</w:t>
      </w:r>
    </w:p>
    <w:p w14:paraId="0B64B25C"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B10D24">
        <w:tab/>
      </w:r>
      <w:r w:rsidRPr="00B10D24">
        <w:tab/>
        <w:t>(c)</w:t>
      </w:r>
      <w:r w:rsidRPr="00B10D24">
        <w:tab/>
        <w:t>The reduction of multidimensional risks and increased protection for those in vulnerable situations in cities.</w:t>
      </w:r>
    </w:p>
    <w:p w14:paraId="311B1750"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15.110</w:t>
      </w:r>
      <w:r w:rsidRPr="00B10D24">
        <w:tab/>
        <w:t>The planned support on issues related to COVID-19 is expected to result in strengthened systems for analysis and decision-making concerning resilient infrastructure at the city level, particularly in crisis settings.</w:t>
      </w:r>
    </w:p>
    <w:p w14:paraId="775A3220"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A41DC33"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BA983FE" w14:textId="77777777" w:rsidR="0016696A" w:rsidRPr="00B10D24" w:rsidRDefault="0016696A" w:rsidP="0016696A">
      <w:pPr>
        <w:pStyle w:val="H1"/>
        <w:ind w:right="1260"/>
      </w:pPr>
      <w:r w:rsidRPr="00B10D24">
        <w:tab/>
      </w:r>
      <w:r w:rsidRPr="00B10D24">
        <w:tab/>
        <w:t>Programme performance in 2020</w:t>
      </w:r>
    </w:p>
    <w:p w14:paraId="21397D98" w14:textId="77777777" w:rsidR="0016696A" w:rsidRPr="00B10D24" w:rsidRDefault="0016696A" w:rsidP="0016696A">
      <w:pPr>
        <w:pStyle w:val="SingleTxt"/>
        <w:spacing w:after="0" w:line="120" w:lineRule="exact"/>
        <w:rPr>
          <w:sz w:val="10"/>
        </w:rPr>
      </w:pPr>
    </w:p>
    <w:p w14:paraId="3593ED49" w14:textId="77777777" w:rsidR="0016696A" w:rsidRPr="00B10D24" w:rsidRDefault="0016696A" w:rsidP="0016696A">
      <w:pPr>
        <w:pStyle w:val="SingleTxt"/>
        <w:spacing w:after="0" w:line="120" w:lineRule="exact"/>
        <w:rPr>
          <w:sz w:val="10"/>
        </w:rPr>
      </w:pPr>
    </w:p>
    <w:p w14:paraId="0702E4C9"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15.111</w:t>
      </w:r>
      <w:r w:rsidRPr="00B10D24">
        <w:tab/>
        <w:t>Programme performance in 2020 includes the below result that emerged during 2020, as well as programme performance presented in results 1 and 2 below.</w:t>
      </w:r>
    </w:p>
    <w:p w14:paraId="150FAFA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5D1D809"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Strengthened urban response to COVID-19</w:t>
      </w:r>
    </w:p>
    <w:p w14:paraId="2E598040" w14:textId="77777777" w:rsidR="0016696A" w:rsidRPr="00B10D24" w:rsidRDefault="0016696A" w:rsidP="0016696A">
      <w:pPr>
        <w:pStyle w:val="SingleTxt"/>
        <w:spacing w:after="0" w:line="120" w:lineRule="exact"/>
        <w:rPr>
          <w:sz w:val="10"/>
        </w:rPr>
      </w:pPr>
    </w:p>
    <w:p w14:paraId="3A99ECD2"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15.112</w:t>
      </w:r>
      <w:r w:rsidRPr="00B10D24">
        <w:tab/>
        <w:t>COVID-19 has presented a global existential threat, which has proven to be most complex in densely populated urban areas. Density in and of itself is not the problem or the cause of this threat; rather, the threat results from a wide range of historic and current socioeconomic deprivations and a basic lack of appropriate access to urban services. The subprogramme’s response was aligned with and contributed to the three pillars of the health response of the United Nation system. In coordination with WHO, and based on experience gained from the Ebola crisis in West Africa, the subprogramme shared its expertise on data analysis, urban analysis and health guidance in urban settings. For the global humanitarian response, the subprogramme actively participated in the Inter-Agency Standing Committee mechanisms, making a particular effort to raise the visibility of urban COVID-19 threats and response priorities. The subprogramme also participated in the coordinated inter-agency Global Humanitarian Response Plan for COVID-19 and provided country-level contributions in relation to shaping the global narrative on the impact of the pandemic in urban areas. The subprogramme also contributed actively to the United Nations framework for the immediate socioeconomic response to COVID-19 by co-leading on pillar 5 (social cohesion and community resilience). In addition, UN</w:t>
      </w:r>
      <w:r w:rsidRPr="00B10D24">
        <w:noBreakHyphen/>
        <w:t>Habitat took a lead role in contributing to the Secretary-General’s policy brief on COVID-19 in an urban world, in collaboration with UNDP, the Department of Economic and Social Affairs, UNEP, UNICEF, UNODC, ILO, WHO, the Office of the United Nations High Commissioner for Human Rights and the regional commissions.</w:t>
      </w:r>
    </w:p>
    <w:p w14:paraId="3E1EF866"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15.113</w:t>
      </w:r>
      <w:r w:rsidRPr="00B10D24">
        <w:tab/>
        <w:t>The subprogramme also developed a policy and programming framework to define the thematic scope of the COVID-19 response. This framework was used by Headquarters and regional offices to ensure the strategic alignment and complementarity of urban response programmes and projects. From rapid response to longer-term recovery, the subprogramme has supported the overall response in 37 countries and more than 250 cities, benefiting 6.8 million people. The subprogramme’s important work in slums and informal settlements was a vital component of the response to COVID</w:t>
      </w:r>
      <w:r w:rsidRPr="00B10D24">
        <w:noBreakHyphen/>
        <w:t>19. Furthermore, the subprogramme prepared a response plan to support 64 countries through over 100 projects and raised or reprogrammed $25 million, mainly for informal settlements. For example, in “Somaliland”, the subprogramme facilitated access to water for vulnerable communities to prevent the spread of COVID-19, supplying clean water to internally displaced persons in two settlements on the outskirts of Hargeysa. In relation to the national urban policy programme of Myanmar, the subprogramme developed an emergency response project to combat COVID-19 in an informal settlements project in Yangon. In the Philippines, the subprogramme opened two satellite markets and several mobile stores around Marawi City to improve access to food, engage communities in small business and inform communities about recovery strategies.</w:t>
      </w:r>
    </w:p>
    <w:p w14:paraId="452C3F2A"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D800D7E" w14:textId="77777777" w:rsidR="0016696A" w:rsidRPr="00B10D24" w:rsidRDefault="0016696A" w:rsidP="00674BD1">
      <w:pPr>
        <w:pStyle w:val="H4"/>
        <w:ind w:right="1260"/>
      </w:pPr>
      <w:r w:rsidRPr="00B10D24">
        <w:lastRenderedPageBreak/>
        <w:tab/>
      </w:r>
      <w:r w:rsidRPr="00B10D24">
        <w:tab/>
        <w:t>Progress towards the attainment of the objective, and performance measure</w:t>
      </w:r>
    </w:p>
    <w:p w14:paraId="44926F71" w14:textId="77777777" w:rsidR="0016696A" w:rsidRPr="00B10D24" w:rsidRDefault="0016696A" w:rsidP="00674BD1">
      <w:pPr>
        <w:pStyle w:val="SingleTxt"/>
        <w:keepNext/>
        <w:keepLines/>
        <w:spacing w:after="0" w:line="120" w:lineRule="exact"/>
        <w:rPr>
          <w:sz w:val="10"/>
        </w:rPr>
      </w:pPr>
    </w:p>
    <w:p w14:paraId="40CA25A1" w14:textId="77777777" w:rsidR="0016696A" w:rsidRPr="00B10D24" w:rsidRDefault="0016696A" w:rsidP="00674B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15.114</w:t>
      </w:r>
      <w:r w:rsidRPr="00B10D24">
        <w:tab/>
        <w:t>This above-mentioned work contributed to the objective, as demonstrated by the development and adaptation of projects and programmes to address COVID-19 in urban environments and informal settlements in 262 beneficiary cities in 37 countries. It reached 6.8 million individual beneficiaries through 71 projects involving more than 250 partners (see table 15.8).</w:t>
      </w:r>
    </w:p>
    <w:p w14:paraId="26127AB1"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DF98CAD"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t>Table 15.8</w:t>
      </w:r>
    </w:p>
    <w:p w14:paraId="5996A169"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Performance measure</w:t>
      </w:r>
    </w:p>
    <w:p w14:paraId="02BB2DD0"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1D930E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W w:w="5000" w:type="pct"/>
        <w:tblCellMar>
          <w:left w:w="0" w:type="dxa"/>
          <w:right w:w="0" w:type="dxa"/>
        </w:tblCellMar>
        <w:tblLook w:val="04A0" w:firstRow="1" w:lastRow="0" w:firstColumn="1" w:lastColumn="0" w:noHBand="0" w:noVBand="1"/>
      </w:tblPr>
      <w:tblGrid>
        <w:gridCol w:w="3283"/>
        <w:gridCol w:w="3283"/>
        <w:gridCol w:w="3284"/>
      </w:tblGrid>
      <w:tr w:rsidR="0016696A" w:rsidRPr="00B10D24" w14:paraId="2738253E" w14:textId="77777777" w:rsidTr="00206464">
        <w:trPr>
          <w:tblHeader/>
        </w:trPr>
        <w:tc>
          <w:tcPr>
            <w:tcW w:w="1666" w:type="pct"/>
            <w:tcBorders>
              <w:top w:val="single" w:sz="4" w:space="0" w:color="auto"/>
              <w:bottom w:val="single" w:sz="12" w:space="0" w:color="auto"/>
            </w:tcBorders>
            <w:shd w:val="clear" w:color="auto" w:fill="auto"/>
            <w:vAlign w:val="bottom"/>
            <w:hideMark/>
          </w:tcPr>
          <w:p w14:paraId="64369597" w14:textId="77777777" w:rsidR="0016696A" w:rsidRPr="00B10D24" w:rsidRDefault="0016696A" w:rsidP="00206464">
            <w:pPr>
              <w:spacing w:before="81" w:after="81" w:line="160" w:lineRule="exact"/>
              <w:ind w:right="43"/>
              <w:jc w:val="both"/>
              <w:rPr>
                <w:i/>
                <w:sz w:val="14"/>
                <w:lang w:eastAsia="zh-CN"/>
              </w:rPr>
            </w:pPr>
            <w:r w:rsidRPr="00B10D24">
              <w:rPr>
                <w:i/>
                <w:sz w:val="14"/>
                <w:lang w:eastAsia="zh-CN"/>
              </w:rPr>
              <w:t>2018 (actual)</w:t>
            </w:r>
          </w:p>
        </w:tc>
        <w:tc>
          <w:tcPr>
            <w:tcW w:w="1666" w:type="pct"/>
            <w:tcBorders>
              <w:top w:val="single" w:sz="4" w:space="0" w:color="auto"/>
              <w:bottom w:val="single" w:sz="12" w:space="0" w:color="auto"/>
            </w:tcBorders>
            <w:shd w:val="clear" w:color="auto" w:fill="auto"/>
            <w:vAlign w:val="bottom"/>
            <w:hideMark/>
          </w:tcPr>
          <w:p w14:paraId="1D15BA1E" w14:textId="77777777" w:rsidR="0016696A" w:rsidRPr="00B10D24" w:rsidRDefault="0016696A" w:rsidP="00206464">
            <w:pPr>
              <w:spacing w:before="81" w:after="81" w:line="160" w:lineRule="exact"/>
              <w:ind w:left="144" w:right="43"/>
              <w:rPr>
                <w:i/>
                <w:sz w:val="14"/>
                <w:lang w:eastAsia="zh-CN"/>
              </w:rPr>
            </w:pPr>
            <w:r w:rsidRPr="00B10D24">
              <w:rPr>
                <w:i/>
                <w:sz w:val="14"/>
                <w:lang w:eastAsia="zh-CN"/>
              </w:rPr>
              <w:t>2019 (actual)</w:t>
            </w:r>
          </w:p>
        </w:tc>
        <w:tc>
          <w:tcPr>
            <w:tcW w:w="1667" w:type="pct"/>
            <w:tcBorders>
              <w:top w:val="single" w:sz="4" w:space="0" w:color="auto"/>
              <w:bottom w:val="single" w:sz="12" w:space="0" w:color="auto"/>
            </w:tcBorders>
            <w:shd w:val="clear" w:color="auto" w:fill="auto"/>
            <w:vAlign w:val="bottom"/>
            <w:hideMark/>
          </w:tcPr>
          <w:p w14:paraId="6591D8D4" w14:textId="77777777" w:rsidR="0016696A" w:rsidRPr="00B10D24" w:rsidRDefault="0016696A" w:rsidP="00206464">
            <w:pPr>
              <w:spacing w:before="81" w:after="81" w:line="160" w:lineRule="exact"/>
              <w:ind w:left="144" w:right="43"/>
              <w:rPr>
                <w:i/>
                <w:sz w:val="14"/>
                <w:lang w:eastAsia="zh-CN"/>
              </w:rPr>
            </w:pPr>
            <w:r w:rsidRPr="00B10D24">
              <w:rPr>
                <w:i/>
                <w:sz w:val="14"/>
                <w:lang w:eastAsia="zh-CN"/>
              </w:rPr>
              <w:t>2020 (actual)</w:t>
            </w:r>
          </w:p>
        </w:tc>
      </w:tr>
      <w:tr w:rsidR="0016696A" w:rsidRPr="00B10D24" w14:paraId="7FD29B56" w14:textId="77777777" w:rsidTr="00206464">
        <w:trPr>
          <w:trHeight w:hRule="exact" w:val="115"/>
          <w:tblHeader/>
        </w:trPr>
        <w:tc>
          <w:tcPr>
            <w:tcW w:w="1666" w:type="pct"/>
            <w:tcBorders>
              <w:top w:val="single" w:sz="12" w:space="0" w:color="auto"/>
            </w:tcBorders>
            <w:shd w:val="clear" w:color="auto" w:fill="auto"/>
            <w:vAlign w:val="bottom"/>
          </w:tcPr>
          <w:p w14:paraId="2FF98867" w14:textId="77777777" w:rsidR="0016696A" w:rsidRPr="00B10D24" w:rsidRDefault="0016696A" w:rsidP="00206464">
            <w:pPr>
              <w:spacing w:before="40" w:after="120"/>
              <w:ind w:right="43"/>
              <w:jc w:val="both"/>
              <w:rPr>
                <w:lang w:eastAsia="zh-CN"/>
              </w:rPr>
            </w:pPr>
          </w:p>
        </w:tc>
        <w:tc>
          <w:tcPr>
            <w:tcW w:w="1666" w:type="pct"/>
            <w:tcBorders>
              <w:top w:val="single" w:sz="12" w:space="0" w:color="auto"/>
            </w:tcBorders>
            <w:shd w:val="clear" w:color="auto" w:fill="auto"/>
            <w:vAlign w:val="bottom"/>
          </w:tcPr>
          <w:p w14:paraId="12F298D5" w14:textId="77777777" w:rsidR="0016696A" w:rsidRPr="00B10D24" w:rsidRDefault="0016696A" w:rsidP="00206464">
            <w:pPr>
              <w:spacing w:before="40" w:after="120"/>
              <w:ind w:left="144" w:right="43"/>
              <w:rPr>
                <w:lang w:eastAsia="zh-CN"/>
              </w:rPr>
            </w:pPr>
          </w:p>
        </w:tc>
        <w:tc>
          <w:tcPr>
            <w:tcW w:w="1667" w:type="pct"/>
            <w:tcBorders>
              <w:top w:val="single" w:sz="12" w:space="0" w:color="auto"/>
            </w:tcBorders>
            <w:shd w:val="clear" w:color="auto" w:fill="auto"/>
            <w:vAlign w:val="bottom"/>
          </w:tcPr>
          <w:p w14:paraId="7FDDECCE" w14:textId="77777777" w:rsidR="0016696A" w:rsidRPr="00B10D24" w:rsidRDefault="0016696A" w:rsidP="00206464">
            <w:pPr>
              <w:spacing w:before="40" w:after="120"/>
              <w:ind w:left="144" w:right="43"/>
              <w:rPr>
                <w:lang w:eastAsia="zh-CN"/>
              </w:rPr>
            </w:pPr>
          </w:p>
        </w:tc>
      </w:tr>
      <w:tr w:rsidR="0016696A" w:rsidRPr="00B10D24" w14:paraId="19FBFF6F" w14:textId="77777777" w:rsidTr="00206464">
        <w:tc>
          <w:tcPr>
            <w:tcW w:w="1666" w:type="pct"/>
            <w:tcBorders>
              <w:bottom w:val="single" w:sz="12" w:space="0" w:color="auto"/>
            </w:tcBorders>
            <w:shd w:val="clear" w:color="auto" w:fill="auto"/>
          </w:tcPr>
          <w:p w14:paraId="4D9E1FDD" w14:textId="77777777" w:rsidR="0016696A" w:rsidRPr="00B10D24" w:rsidRDefault="0016696A" w:rsidP="00206464">
            <w:pPr>
              <w:tabs>
                <w:tab w:val="left" w:pos="288"/>
                <w:tab w:val="left" w:pos="576"/>
                <w:tab w:val="left" w:pos="864"/>
                <w:tab w:val="left" w:pos="1152"/>
              </w:tabs>
              <w:spacing w:before="40" w:after="120"/>
              <w:ind w:right="43"/>
              <w:rPr>
                <w:lang w:eastAsia="zh-CN"/>
              </w:rPr>
            </w:pPr>
            <w:r w:rsidRPr="00B10D24">
              <w:rPr>
                <w:lang w:eastAsia="zh-CN"/>
              </w:rPr>
              <w:t>–</w:t>
            </w:r>
          </w:p>
        </w:tc>
        <w:tc>
          <w:tcPr>
            <w:tcW w:w="1666" w:type="pct"/>
            <w:tcBorders>
              <w:bottom w:val="single" w:sz="12" w:space="0" w:color="auto"/>
            </w:tcBorders>
            <w:shd w:val="clear" w:color="auto" w:fill="auto"/>
          </w:tcPr>
          <w:p w14:paraId="4639313C" w14:textId="77777777" w:rsidR="0016696A" w:rsidRPr="00B10D24" w:rsidRDefault="0016696A" w:rsidP="00206464">
            <w:pPr>
              <w:tabs>
                <w:tab w:val="left" w:pos="288"/>
                <w:tab w:val="left" w:pos="576"/>
                <w:tab w:val="left" w:pos="864"/>
                <w:tab w:val="left" w:pos="1152"/>
              </w:tabs>
              <w:spacing w:before="40" w:after="120"/>
              <w:ind w:left="144" w:right="43"/>
              <w:rPr>
                <w:lang w:eastAsia="zh-CN"/>
              </w:rPr>
            </w:pPr>
            <w:r w:rsidRPr="00B10D24">
              <w:rPr>
                <w:lang w:eastAsia="zh-CN"/>
              </w:rPr>
              <w:t>–</w:t>
            </w:r>
          </w:p>
        </w:tc>
        <w:tc>
          <w:tcPr>
            <w:tcW w:w="1667" w:type="pct"/>
            <w:tcBorders>
              <w:bottom w:val="single" w:sz="12" w:space="0" w:color="auto"/>
            </w:tcBorders>
            <w:shd w:val="clear" w:color="auto" w:fill="auto"/>
          </w:tcPr>
          <w:p w14:paraId="1B229D5F" w14:textId="77777777" w:rsidR="0016696A" w:rsidRPr="00B10D24" w:rsidRDefault="0016696A" w:rsidP="00206464">
            <w:pPr>
              <w:tabs>
                <w:tab w:val="left" w:pos="288"/>
                <w:tab w:val="left" w:pos="576"/>
                <w:tab w:val="left" w:pos="864"/>
                <w:tab w:val="left" w:pos="1152"/>
              </w:tabs>
              <w:spacing w:before="40" w:after="120"/>
              <w:ind w:left="144" w:right="43"/>
              <w:rPr>
                <w:iCs/>
                <w:lang w:eastAsia="zh-CN"/>
              </w:rPr>
            </w:pPr>
            <w:r w:rsidRPr="00B10D24">
              <w:rPr>
                <w:iCs/>
                <w:lang w:eastAsia="zh-CN"/>
              </w:rPr>
              <w:t>71 projects with a focus on mitigating the impact of COVID-19 in 262 beneficiary cities in 37 countries, reaching 6.8 million individual beneficiaries</w:t>
            </w:r>
          </w:p>
        </w:tc>
      </w:tr>
    </w:tbl>
    <w:p w14:paraId="73830875"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4E8671F"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2C8B20D"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Impact of COVID-19 on subprogramme delivery</w:t>
      </w:r>
    </w:p>
    <w:p w14:paraId="486399DA" w14:textId="77777777" w:rsidR="0016696A" w:rsidRPr="00B10D24" w:rsidRDefault="0016696A" w:rsidP="0016696A">
      <w:pPr>
        <w:pStyle w:val="SingleTxt"/>
        <w:spacing w:after="0" w:line="120" w:lineRule="exact"/>
        <w:rPr>
          <w:sz w:val="10"/>
        </w:rPr>
      </w:pPr>
    </w:p>
    <w:p w14:paraId="30122713"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15.115</w:t>
      </w:r>
      <w:r w:rsidRPr="00B10D24">
        <w:tab/>
        <w:t>Owing to the impact of COVID-19 during 2020, the subprogramme changed its approach to capacity-building and training activities for local communities, as well as to its engagement with national and local authorities, by moving from face-to-face to virtual or hybrid meetings. Global travel restrictions effectively stopped all planned capacity development missions, field trips and fact-finding, as well as the deployment of staff to duty stations.</w:t>
      </w:r>
    </w:p>
    <w:p w14:paraId="4371C670"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15.116</w:t>
      </w:r>
      <w:r w:rsidRPr="00B10D24">
        <w:tab/>
        <w:t>At the same time, however, the subprogramme identified new activities to support Member States on issues related to COVID-19, within the overall scope of its objectives, namely contributing its urban expertise in the context of the development of the Global Humanitarian Response Plan, the United Nations framework for the immediate socioeconomic response to COVID-19 and the Secretary General’s policy brief on COVID-19 in an urban world. Further, UN-Habitat developed its COVID-19 policy and programme framework, identifying global, regional and country-level action plans, focusing on support for local governments, urban profiling and data mapping, improvements to water and sanitation in informal settlements, and awareness-raising with regard to the COVID-19 threat. The Programme’s internal emergency funds of $1.3 million supported projects benefiting 5 million people in 145 cities in 13 countries, including Brazil, Ghana, Iraq, Kenya, Lebanon, Mexico, Mozambique, Myanmar, the Philippines and the Syrian Arab Republic. In Mosul, Iraq, in collaboration with WHO, UN-Habitat developed guidelines for managing COVID-19 risks at construction sites in order to facilitate return-to-work policies for reconstruction projects. The guidelines were disseminated to contractors and partners, and the resumption of the Programme’s activities in Mosul resulted in the provision of shelter and livelihood opportunities for disadvantaged communities. The new deliverables contributed to results in 2020, as specified in the emerging result for 2020 above.</w:t>
      </w:r>
    </w:p>
    <w:p w14:paraId="7ED69BEA"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A284910"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6879167" w14:textId="77777777" w:rsidR="0016696A" w:rsidRPr="00B10D24" w:rsidRDefault="0016696A" w:rsidP="0016696A">
      <w:pPr>
        <w:pStyle w:val="H1"/>
        <w:ind w:right="1260"/>
      </w:pPr>
      <w:r w:rsidRPr="00B10D24">
        <w:tab/>
      </w:r>
      <w:r w:rsidRPr="00B10D24">
        <w:tab/>
        <w:t>Planned results for 2022</w:t>
      </w:r>
    </w:p>
    <w:p w14:paraId="59E1E4CC"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A1351C8"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235402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15.117</w:t>
      </w:r>
      <w:r w:rsidRPr="00B10D24">
        <w:tab/>
        <w:t>The planned results for 2022 include results 1 and 2, which are updates of results presented in the preceding proposed programme plans and therefore show both the programme performance in 2020 and the proposed programme plan for 2022. Result 3 is a new planned result.</w:t>
      </w:r>
    </w:p>
    <w:p w14:paraId="2FEB9BA5"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CBEE39A" w14:textId="77777777" w:rsidR="0016696A" w:rsidRPr="00B10D24" w:rsidRDefault="0016696A" w:rsidP="00674BD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570" w:hanging="1267"/>
        <w:rPr>
          <w:lang w:val="en-GB"/>
        </w:rPr>
      </w:pPr>
      <w:r w:rsidRPr="00B10D24">
        <w:rPr>
          <w:lang w:val="en-GB"/>
        </w:rPr>
        <w:lastRenderedPageBreak/>
        <w:tab/>
      </w:r>
      <w:r w:rsidRPr="00B10D24">
        <w:rPr>
          <w:lang w:val="en-GB"/>
        </w:rPr>
        <w:tab/>
        <w:t>Result 1: rehabilitation and shelter recovery for vulnerable families in Mosul, Iraq</w:t>
      </w:r>
      <w:r w:rsidRPr="00B10D24">
        <w:rPr>
          <w:rStyle w:val="FootnoteReference"/>
          <w:b w:val="0"/>
          <w:bCs/>
          <w:lang w:val="en-GB"/>
        </w:rPr>
        <w:footnoteReference w:id="8"/>
      </w:r>
    </w:p>
    <w:p w14:paraId="422E82E8" w14:textId="77777777" w:rsidR="0016696A" w:rsidRPr="00B10D24" w:rsidRDefault="0016696A" w:rsidP="00674B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D60D0C8" w14:textId="77777777" w:rsidR="0016696A" w:rsidRPr="00B10D24" w:rsidRDefault="0016696A" w:rsidP="00674BD1">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Programme performance in 2020</w:t>
      </w:r>
    </w:p>
    <w:p w14:paraId="56363B9B" w14:textId="77777777" w:rsidR="0016696A" w:rsidRPr="00B10D24" w:rsidRDefault="0016696A" w:rsidP="00674BD1">
      <w:pPr>
        <w:pStyle w:val="SingleTxt"/>
        <w:keepNext/>
        <w:keepLines/>
        <w:spacing w:after="0" w:line="120" w:lineRule="exact"/>
        <w:rPr>
          <w:sz w:val="10"/>
        </w:rPr>
      </w:pPr>
    </w:p>
    <w:p w14:paraId="799996ED" w14:textId="77777777" w:rsidR="0016696A" w:rsidRPr="00B10D24" w:rsidRDefault="0016696A" w:rsidP="00674BD1">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15.118</w:t>
      </w:r>
      <w:r w:rsidRPr="00B10D24">
        <w:tab/>
        <w:t>The subprogramme addressed the urban crisis in Iraq by scaling up its housing rehabilitation efforts in three liberated governorates and, in particular, in the city of Mosul. Shelter interventions contributed to the sustainable return of some 2,500 Mosul residents who had been displaced and affected by the conflict with Islamic State in Iraq and the Levant. The subprogramme also embarked on the participatory redesign and rehabilitation of Yarmuk Park, the largest public open space in western Mosul, as an integral component of its ongoing area-based urban recovery programming. Furthermore, the subprogramme has been promoting a “build back better” approach that embraces the adoption of greener technologies, including renewable energy, passive design, recycling of debris and the use of materials sourced and produced in Iraq.</w:t>
      </w:r>
    </w:p>
    <w:p w14:paraId="143FF856"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15.119</w:t>
      </w:r>
      <w:r w:rsidRPr="00B10D24">
        <w:tab/>
        <w:t xml:space="preserve">The above-mentioned work contributed to the rehabilitation of 356 war-damaged houses in the target neighbourhoods of Shifa’, Sikak, Matahin and Maghrib, in parallel to the upgrading of water, sanitation and hygiene infrastructure in Shifa’, and the creation of sport facilities and greening in Yarmuk Park, which met the planned target reflected in the proposed programme budget for 2020. The newly built multipurpose sports grounds provide a powerful tool for strengthening social ties and networks, overcoming mistrust and reaching across political divides and ethnic and religious differences, particularly among disenfranchised young people that have grown up in an environment of intolerance and conflict. </w:t>
      </w:r>
    </w:p>
    <w:p w14:paraId="7526C6FE"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BACF09D"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ab/>
      </w:r>
      <w:r w:rsidRPr="00B10D24">
        <w:rPr>
          <w:lang w:val="en-GB"/>
        </w:rPr>
        <w:tab/>
        <w:t>Proposed programme plan for 2022</w:t>
      </w:r>
    </w:p>
    <w:p w14:paraId="64979811" w14:textId="77777777" w:rsidR="0016696A" w:rsidRPr="00B10D24" w:rsidRDefault="0016696A" w:rsidP="0016696A">
      <w:pPr>
        <w:pStyle w:val="SingleTxt"/>
        <w:spacing w:after="0" w:line="120" w:lineRule="exact"/>
        <w:rPr>
          <w:sz w:val="10"/>
        </w:rPr>
      </w:pPr>
    </w:p>
    <w:p w14:paraId="26B1A6B5" w14:textId="07B3D780" w:rsidR="0016696A"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B10D24">
        <w:tab/>
        <w:t>15.120</w:t>
      </w:r>
      <w:r w:rsidRPr="00B10D24">
        <w:tab/>
        <w:t>The subprogramme will continue the work related to the planned result, in line with its mandate. To contribute to further progress towards the objective, the subprogramme will lead the drafting of a participatory recovery plan for the Old City of Mosul, in partnership with the United Nations Educational, Scientific and Cultural Organization (UNESCO). The expected progress is presented in the performance measure below (see table 15.9).</w:t>
      </w:r>
    </w:p>
    <w:p w14:paraId="195F0658" w14:textId="6D832453" w:rsidR="002D4D92" w:rsidRPr="002D4D92" w:rsidRDefault="002D4D92" w:rsidP="002D4D9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9D68D55"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B10D24">
        <w:rPr>
          <w:b w:val="0"/>
          <w:bCs/>
          <w:lang w:val="en-GB"/>
        </w:rPr>
        <w:t>Table 15.9</w:t>
      </w:r>
    </w:p>
    <w:p w14:paraId="46F8C933" w14:textId="77777777" w:rsidR="0016696A" w:rsidRPr="00B10D24" w:rsidRDefault="0016696A" w:rsidP="0016696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B10D24">
        <w:rPr>
          <w:lang w:val="en-GB"/>
        </w:rPr>
        <w:t>Performance measure</w:t>
      </w:r>
    </w:p>
    <w:p w14:paraId="514B82C4"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8E47FDB"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W w:w="9855" w:type="dxa"/>
        <w:tblLayout w:type="fixed"/>
        <w:tblCellMar>
          <w:left w:w="0" w:type="dxa"/>
          <w:right w:w="0" w:type="dxa"/>
        </w:tblCellMar>
        <w:tblLook w:val="04A0" w:firstRow="1" w:lastRow="0" w:firstColumn="1" w:lastColumn="0" w:noHBand="0" w:noVBand="1"/>
      </w:tblPr>
      <w:tblGrid>
        <w:gridCol w:w="1971"/>
        <w:gridCol w:w="1971"/>
        <w:gridCol w:w="1971"/>
        <w:gridCol w:w="1971"/>
        <w:gridCol w:w="1971"/>
      </w:tblGrid>
      <w:tr w:rsidR="0016696A" w:rsidRPr="00B10D24" w14:paraId="2574F8C6" w14:textId="77777777" w:rsidTr="00206464">
        <w:trPr>
          <w:tblHeader/>
        </w:trPr>
        <w:tc>
          <w:tcPr>
            <w:tcW w:w="1971" w:type="dxa"/>
            <w:tcBorders>
              <w:top w:val="single" w:sz="4" w:space="0" w:color="auto"/>
              <w:left w:val="nil"/>
              <w:bottom w:val="single" w:sz="12" w:space="0" w:color="auto"/>
              <w:right w:val="nil"/>
            </w:tcBorders>
            <w:vAlign w:val="bottom"/>
            <w:hideMark/>
          </w:tcPr>
          <w:p w14:paraId="5109C88D" w14:textId="77777777" w:rsidR="0016696A" w:rsidRPr="00B10D24" w:rsidRDefault="0016696A" w:rsidP="00674BD1">
            <w:pPr>
              <w:spacing w:before="81" w:after="81" w:line="160" w:lineRule="exact"/>
              <w:ind w:right="40"/>
              <w:jc w:val="both"/>
              <w:rPr>
                <w:i/>
                <w:sz w:val="14"/>
                <w:lang w:eastAsia="zh-CN"/>
              </w:rPr>
            </w:pPr>
            <w:r w:rsidRPr="00B10D24">
              <w:rPr>
                <w:i/>
                <w:sz w:val="14"/>
                <w:lang w:eastAsia="zh-CN"/>
              </w:rPr>
              <w:t>2018 (actual)</w:t>
            </w:r>
          </w:p>
        </w:tc>
        <w:tc>
          <w:tcPr>
            <w:tcW w:w="1971" w:type="dxa"/>
            <w:tcBorders>
              <w:top w:val="single" w:sz="4" w:space="0" w:color="auto"/>
              <w:left w:val="nil"/>
              <w:bottom w:val="single" w:sz="12" w:space="0" w:color="auto"/>
              <w:right w:val="nil"/>
            </w:tcBorders>
            <w:vAlign w:val="bottom"/>
            <w:hideMark/>
          </w:tcPr>
          <w:p w14:paraId="7F5FBACF" w14:textId="77777777" w:rsidR="0016696A" w:rsidRPr="00B10D24" w:rsidRDefault="0016696A" w:rsidP="00674BD1">
            <w:pPr>
              <w:spacing w:before="81" w:after="81" w:line="160" w:lineRule="exact"/>
              <w:ind w:left="144" w:right="40"/>
              <w:rPr>
                <w:i/>
                <w:sz w:val="14"/>
                <w:lang w:eastAsia="zh-CN"/>
              </w:rPr>
            </w:pPr>
            <w:r w:rsidRPr="00B10D24">
              <w:rPr>
                <w:i/>
                <w:sz w:val="14"/>
                <w:lang w:eastAsia="zh-CN"/>
              </w:rPr>
              <w:t>2019 (actual)</w:t>
            </w:r>
          </w:p>
        </w:tc>
        <w:tc>
          <w:tcPr>
            <w:tcW w:w="1971" w:type="dxa"/>
            <w:tcBorders>
              <w:top w:val="single" w:sz="4" w:space="0" w:color="auto"/>
              <w:left w:val="nil"/>
              <w:bottom w:val="single" w:sz="12" w:space="0" w:color="auto"/>
              <w:right w:val="double" w:sz="12" w:space="0" w:color="auto"/>
            </w:tcBorders>
            <w:vAlign w:val="bottom"/>
            <w:hideMark/>
          </w:tcPr>
          <w:p w14:paraId="168EA57E" w14:textId="77777777" w:rsidR="0016696A" w:rsidRPr="00B10D24" w:rsidRDefault="0016696A" w:rsidP="00674BD1">
            <w:pPr>
              <w:spacing w:before="81" w:after="81" w:line="160" w:lineRule="exact"/>
              <w:ind w:left="144" w:right="40"/>
              <w:rPr>
                <w:i/>
                <w:sz w:val="14"/>
                <w:lang w:eastAsia="zh-CN"/>
              </w:rPr>
            </w:pPr>
            <w:r w:rsidRPr="00B10D24">
              <w:rPr>
                <w:i/>
                <w:sz w:val="14"/>
                <w:lang w:eastAsia="zh-CN"/>
              </w:rPr>
              <w:t>2020 (actual)</w:t>
            </w:r>
          </w:p>
        </w:tc>
        <w:tc>
          <w:tcPr>
            <w:tcW w:w="1971" w:type="dxa"/>
            <w:tcBorders>
              <w:top w:val="single" w:sz="4" w:space="0" w:color="auto"/>
              <w:left w:val="double" w:sz="12" w:space="0" w:color="auto"/>
              <w:bottom w:val="single" w:sz="12" w:space="0" w:color="auto"/>
              <w:right w:val="nil"/>
            </w:tcBorders>
            <w:vAlign w:val="bottom"/>
            <w:hideMark/>
          </w:tcPr>
          <w:p w14:paraId="796F83D9" w14:textId="77777777" w:rsidR="0016696A" w:rsidRPr="00B10D24" w:rsidRDefault="0016696A" w:rsidP="00674BD1">
            <w:pPr>
              <w:spacing w:before="81" w:after="81" w:line="160" w:lineRule="exact"/>
              <w:ind w:left="144" w:right="40"/>
              <w:rPr>
                <w:i/>
                <w:sz w:val="14"/>
                <w:vertAlign w:val="superscript"/>
                <w:lang w:eastAsia="zh-CN"/>
              </w:rPr>
            </w:pPr>
            <w:r w:rsidRPr="00B10D24">
              <w:rPr>
                <w:i/>
                <w:sz w:val="14"/>
                <w:lang w:eastAsia="zh-CN"/>
              </w:rPr>
              <w:t>2021 (planned)</w:t>
            </w:r>
            <w:r w:rsidRPr="00B10D24">
              <w:rPr>
                <w:i/>
                <w:sz w:val="14"/>
                <w:vertAlign w:val="superscript"/>
                <w:lang w:eastAsia="zh-CN"/>
              </w:rPr>
              <w:t>a</w:t>
            </w:r>
          </w:p>
        </w:tc>
        <w:tc>
          <w:tcPr>
            <w:tcW w:w="1971" w:type="dxa"/>
            <w:tcBorders>
              <w:top w:val="single" w:sz="4" w:space="0" w:color="auto"/>
              <w:left w:val="nil"/>
              <w:bottom w:val="single" w:sz="12" w:space="0" w:color="auto"/>
              <w:right w:val="nil"/>
            </w:tcBorders>
            <w:vAlign w:val="bottom"/>
            <w:hideMark/>
          </w:tcPr>
          <w:p w14:paraId="46221B0F" w14:textId="77777777" w:rsidR="0016696A" w:rsidRPr="00B10D24" w:rsidRDefault="0016696A" w:rsidP="00674BD1">
            <w:pPr>
              <w:spacing w:before="81" w:after="81" w:line="160" w:lineRule="exact"/>
              <w:ind w:left="144" w:right="40"/>
              <w:rPr>
                <w:b/>
                <w:bCs/>
                <w:i/>
                <w:sz w:val="14"/>
                <w:lang w:eastAsia="zh-CN"/>
              </w:rPr>
            </w:pPr>
            <w:r w:rsidRPr="00B10D24">
              <w:rPr>
                <w:i/>
                <w:sz w:val="14"/>
                <w:lang w:eastAsia="zh-CN"/>
              </w:rPr>
              <w:t>2022 (planned)</w:t>
            </w:r>
          </w:p>
        </w:tc>
      </w:tr>
      <w:tr w:rsidR="0016696A" w:rsidRPr="00B10D24" w14:paraId="3D40F974" w14:textId="77777777" w:rsidTr="00206464">
        <w:trPr>
          <w:trHeight w:hRule="exact" w:val="115"/>
          <w:tblHeader/>
        </w:trPr>
        <w:tc>
          <w:tcPr>
            <w:tcW w:w="1971" w:type="dxa"/>
            <w:tcBorders>
              <w:top w:val="single" w:sz="12" w:space="0" w:color="auto"/>
              <w:left w:val="nil"/>
              <w:bottom w:val="nil"/>
              <w:right w:val="nil"/>
            </w:tcBorders>
            <w:vAlign w:val="bottom"/>
          </w:tcPr>
          <w:p w14:paraId="1378941B" w14:textId="77777777" w:rsidR="0016696A" w:rsidRPr="00B10D24" w:rsidRDefault="0016696A" w:rsidP="00674BD1">
            <w:pPr>
              <w:spacing w:before="40" w:after="120"/>
              <w:ind w:right="40"/>
              <w:jc w:val="both"/>
              <w:rPr>
                <w:lang w:eastAsia="zh-CN"/>
              </w:rPr>
            </w:pPr>
          </w:p>
        </w:tc>
        <w:tc>
          <w:tcPr>
            <w:tcW w:w="1971" w:type="dxa"/>
            <w:tcBorders>
              <w:top w:val="single" w:sz="12" w:space="0" w:color="auto"/>
              <w:left w:val="nil"/>
              <w:bottom w:val="nil"/>
              <w:right w:val="nil"/>
            </w:tcBorders>
            <w:vAlign w:val="bottom"/>
          </w:tcPr>
          <w:p w14:paraId="13D690ED" w14:textId="77777777" w:rsidR="0016696A" w:rsidRPr="00B10D24" w:rsidRDefault="0016696A" w:rsidP="00674BD1">
            <w:pPr>
              <w:spacing w:before="40" w:after="120"/>
              <w:ind w:left="144" w:right="40"/>
              <w:rPr>
                <w:lang w:eastAsia="zh-CN"/>
              </w:rPr>
            </w:pPr>
          </w:p>
        </w:tc>
        <w:tc>
          <w:tcPr>
            <w:tcW w:w="1971" w:type="dxa"/>
            <w:tcBorders>
              <w:top w:val="single" w:sz="12" w:space="0" w:color="auto"/>
              <w:left w:val="nil"/>
              <w:bottom w:val="nil"/>
              <w:right w:val="double" w:sz="12" w:space="0" w:color="auto"/>
            </w:tcBorders>
            <w:vAlign w:val="bottom"/>
          </w:tcPr>
          <w:p w14:paraId="298281A8" w14:textId="77777777" w:rsidR="0016696A" w:rsidRPr="00B10D24" w:rsidRDefault="0016696A" w:rsidP="00674BD1">
            <w:pPr>
              <w:spacing w:before="40" w:after="120"/>
              <w:ind w:left="144" w:right="40"/>
              <w:rPr>
                <w:lang w:eastAsia="zh-CN"/>
              </w:rPr>
            </w:pPr>
          </w:p>
        </w:tc>
        <w:tc>
          <w:tcPr>
            <w:tcW w:w="1971" w:type="dxa"/>
            <w:tcBorders>
              <w:top w:val="single" w:sz="12" w:space="0" w:color="auto"/>
              <w:left w:val="double" w:sz="12" w:space="0" w:color="auto"/>
              <w:bottom w:val="nil"/>
              <w:right w:val="nil"/>
            </w:tcBorders>
            <w:vAlign w:val="bottom"/>
          </w:tcPr>
          <w:p w14:paraId="0EB4CE4B" w14:textId="77777777" w:rsidR="0016696A" w:rsidRPr="00B10D24" w:rsidRDefault="0016696A" w:rsidP="00674BD1">
            <w:pPr>
              <w:spacing w:before="40" w:after="120"/>
              <w:ind w:left="144" w:right="40"/>
              <w:rPr>
                <w:lang w:eastAsia="zh-CN"/>
              </w:rPr>
            </w:pPr>
          </w:p>
        </w:tc>
        <w:tc>
          <w:tcPr>
            <w:tcW w:w="1971" w:type="dxa"/>
            <w:tcBorders>
              <w:top w:val="single" w:sz="12" w:space="0" w:color="auto"/>
              <w:left w:val="nil"/>
              <w:bottom w:val="nil"/>
              <w:right w:val="nil"/>
            </w:tcBorders>
            <w:vAlign w:val="bottom"/>
          </w:tcPr>
          <w:p w14:paraId="495AD8EE" w14:textId="77777777" w:rsidR="0016696A" w:rsidRPr="00B10D24" w:rsidRDefault="0016696A" w:rsidP="00674BD1">
            <w:pPr>
              <w:spacing w:before="40" w:after="120"/>
              <w:ind w:left="144" w:right="40"/>
              <w:rPr>
                <w:b/>
                <w:bCs/>
                <w:lang w:eastAsia="zh-CN"/>
              </w:rPr>
            </w:pPr>
          </w:p>
        </w:tc>
      </w:tr>
      <w:tr w:rsidR="0016696A" w:rsidRPr="00B10D24" w14:paraId="3DE8E6AB" w14:textId="77777777" w:rsidTr="00674BD1">
        <w:tc>
          <w:tcPr>
            <w:tcW w:w="1971" w:type="dxa"/>
            <w:tcBorders>
              <w:top w:val="nil"/>
              <w:left w:val="nil"/>
              <w:bottom w:val="nil"/>
              <w:right w:val="nil"/>
            </w:tcBorders>
          </w:tcPr>
          <w:p w14:paraId="00AEAC90" w14:textId="77777777" w:rsidR="0016696A" w:rsidRPr="00B10D24" w:rsidRDefault="0016696A" w:rsidP="00674BD1">
            <w:pPr>
              <w:tabs>
                <w:tab w:val="left" w:pos="288"/>
                <w:tab w:val="left" w:pos="576"/>
                <w:tab w:val="left" w:pos="864"/>
                <w:tab w:val="left" w:pos="1152"/>
              </w:tabs>
              <w:spacing w:before="40" w:after="120" w:line="234" w:lineRule="exact"/>
              <w:ind w:right="43"/>
              <w:rPr>
                <w:lang w:eastAsia="zh-CN"/>
              </w:rPr>
            </w:pPr>
            <w:r w:rsidRPr="00B10D24">
              <w:t>Absence of nationally owned coordination mechanism and lack of large humanitarian response for the reconstruction of Mosul in order to guide recovery and rehabilitation work of beneficiary returnees for the 600 rehabilitated houses</w:t>
            </w:r>
          </w:p>
        </w:tc>
        <w:tc>
          <w:tcPr>
            <w:tcW w:w="1971" w:type="dxa"/>
            <w:tcBorders>
              <w:top w:val="nil"/>
              <w:left w:val="nil"/>
              <w:bottom w:val="nil"/>
              <w:right w:val="nil"/>
            </w:tcBorders>
          </w:tcPr>
          <w:p w14:paraId="481EC67C" w14:textId="77777777" w:rsidR="0016696A" w:rsidRPr="00B10D24" w:rsidRDefault="0016696A" w:rsidP="00674BD1">
            <w:pPr>
              <w:tabs>
                <w:tab w:val="left" w:pos="288"/>
                <w:tab w:val="left" w:pos="576"/>
                <w:tab w:val="left" w:pos="864"/>
                <w:tab w:val="left" w:pos="1152"/>
              </w:tabs>
              <w:spacing w:before="40" w:after="120" w:line="234" w:lineRule="exact"/>
              <w:ind w:left="144" w:right="43"/>
              <w:rPr>
                <w:lang w:eastAsia="zh-CN"/>
              </w:rPr>
            </w:pPr>
            <w:r w:rsidRPr="00B10D24">
              <w:t>Establishment of nationally owned coordination mechanism for the reconstruction of Mosul in order to guide recovery and rehabilitation work; rehabilitation of damaged houses and construction of new homes undertaken simultaneously</w:t>
            </w:r>
          </w:p>
        </w:tc>
        <w:tc>
          <w:tcPr>
            <w:tcW w:w="1971" w:type="dxa"/>
            <w:tcBorders>
              <w:top w:val="nil"/>
              <w:left w:val="nil"/>
              <w:bottom w:val="nil"/>
              <w:right w:val="double" w:sz="12" w:space="0" w:color="auto"/>
            </w:tcBorders>
          </w:tcPr>
          <w:p w14:paraId="5FB16966" w14:textId="77777777" w:rsidR="0016696A" w:rsidRPr="00B10D24" w:rsidRDefault="0016696A" w:rsidP="00674BD1">
            <w:pPr>
              <w:tabs>
                <w:tab w:val="left" w:pos="288"/>
                <w:tab w:val="left" w:pos="576"/>
                <w:tab w:val="left" w:pos="864"/>
                <w:tab w:val="left" w:pos="1152"/>
              </w:tabs>
              <w:spacing w:before="40" w:after="120" w:line="234" w:lineRule="exact"/>
              <w:ind w:left="144" w:right="43"/>
            </w:pPr>
            <w:r w:rsidRPr="00B10D24">
              <w:t>Return of 356 families to rehabilitated war-damaged houses in the neighbourhoods of Shifa’, Sikak, Matahin and Maghrib, following rehabilitation</w:t>
            </w:r>
          </w:p>
          <w:p w14:paraId="34255801" w14:textId="77777777" w:rsidR="0016696A" w:rsidRPr="00B10D24" w:rsidRDefault="0016696A" w:rsidP="00674BD1">
            <w:pPr>
              <w:tabs>
                <w:tab w:val="left" w:pos="288"/>
                <w:tab w:val="left" w:pos="576"/>
                <w:tab w:val="left" w:pos="864"/>
                <w:tab w:val="left" w:pos="1152"/>
              </w:tabs>
              <w:spacing w:before="40" w:after="120" w:line="234" w:lineRule="exact"/>
              <w:ind w:left="144" w:right="43"/>
            </w:pPr>
            <w:r w:rsidRPr="00B10D24">
              <w:t>Sport facilities and green spaces for local neighbourhoods at Yarmuk Park</w:t>
            </w:r>
          </w:p>
        </w:tc>
        <w:tc>
          <w:tcPr>
            <w:tcW w:w="1971" w:type="dxa"/>
            <w:tcBorders>
              <w:top w:val="nil"/>
              <w:left w:val="double" w:sz="12" w:space="0" w:color="auto"/>
              <w:bottom w:val="nil"/>
              <w:right w:val="nil"/>
            </w:tcBorders>
          </w:tcPr>
          <w:p w14:paraId="17ADF210" w14:textId="77777777" w:rsidR="0016696A" w:rsidRPr="00B10D24" w:rsidRDefault="0016696A" w:rsidP="00674BD1">
            <w:pPr>
              <w:tabs>
                <w:tab w:val="left" w:pos="288"/>
                <w:tab w:val="left" w:pos="576"/>
                <w:tab w:val="left" w:pos="864"/>
                <w:tab w:val="left" w:pos="1152"/>
              </w:tabs>
              <w:spacing w:before="40" w:after="120" w:line="234" w:lineRule="exact"/>
              <w:ind w:left="144" w:right="43"/>
              <w:rPr>
                <w:lang w:eastAsia="zh-CN"/>
              </w:rPr>
            </w:pPr>
            <w:r w:rsidRPr="00B10D24">
              <w:t xml:space="preserve">Improved access to adequate housing and basic services by returnees and vulnerable community members; long-term development and peacebuilding challenges are addressed through measures such as protection of housing, land and property rights and facilitation of mediation to resolve disputes </w:t>
            </w:r>
            <w:r w:rsidRPr="00B10D24">
              <w:lastRenderedPageBreak/>
              <w:t>among community members</w:t>
            </w:r>
          </w:p>
        </w:tc>
        <w:tc>
          <w:tcPr>
            <w:tcW w:w="1971" w:type="dxa"/>
            <w:tcBorders>
              <w:top w:val="nil"/>
              <w:left w:val="nil"/>
              <w:bottom w:val="nil"/>
              <w:right w:val="nil"/>
            </w:tcBorders>
          </w:tcPr>
          <w:p w14:paraId="072BFF2C" w14:textId="77777777" w:rsidR="0016696A" w:rsidRPr="00B10D24" w:rsidRDefault="0016696A" w:rsidP="00674BD1">
            <w:pPr>
              <w:tabs>
                <w:tab w:val="left" w:pos="288"/>
                <w:tab w:val="left" w:pos="576"/>
                <w:tab w:val="left" w:pos="864"/>
                <w:tab w:val="left" w:pos="1152"/>
              </w:tabs>
              <w:spacing w:before="40" w:after="120" w:line="234" w:lineRule="exact"/>
              <w:ind w:left="144" w:right="43"/>
              <w:rPr>
                <w:b/>
                <w:bCs/>
                <w:lang w:eastAsia="zh-CN"/>
              </w:rPr>
            </w:pPr>
            <w:r w:rsidRPr="00B10D24">
              <w:lastRenderedPageBreak/>
              <w:t>Progress on the rehabilitation of the Old City of Mosul following the launch of a participatory recovery plan in partnership with UNESCO</w:t>
            </w:r>
          </w:p>
        </w:tc>
      </w:tr>
      <w:tr w:rsidR="00674BD1" w:rsidRPr="00674BD1" w14:paraId="5B251D91" w14:textId="77777777" w:rsidTr="00206464">
        <w:tc>
          <w:tcPr>
            <w:tcW w:w="1971" w:type="dxa"/>
            <w:tcBorders>
              <w:top w:val="nil"/>
              <w:left w:val="nil"/>
              <w:bottom w:val="single" w:sz="12" w:space="0" w:color="auto"/>
              <w:right w:val="nil"/>
            </w:tcBorders>
          </w:tcPr>
          <w:p w14:paraId="64E9BC4A" w14:textId="77777777" w:rsidR="00674BD1" w:rsidRPr="00674BD1" w:rsidRDefault="00674BD1" w:rsidP="00674BD1">
            <w:pPr>
              <w:tabs>
                <w:tab w:val="left" w:pos="288"/>
                <w:tab w:val="left" w:pos="576"/>
                <w:tab w:val="left" w:pos="864"/>
                <w:tab w:val="left" w:pos="1152"/>
              </w:tabs>
              <w:spacing w:line="240" w:lineRule="auto"/>
              <w:ind w:right="43"/>
              <w:rPr>
                <w:sz w:val="2"/>
              </w:rPr>
            </w:pPr>
          </w:p>
        </w:tc>
        <w:tc>
          <w:tcPr>
            <w:tcW w:w="1971" w:type="dxa"/>
            <w:tcBorders>
              <w:top w:val="nil"/>
              <w:left w:val="nil"/>
              <w:bottom w:val="single" w:sz="12" w:space="0" w:color="auto"/>
              <w:right w:val="nil"/>
            </w:tcBorders>
          </w:tcPr>
          <w:p w14:paraId="75E957EB" w14:textId="77777777" w:rsidR="00674BD1" w:rsidRPr="00674BD1" w:rsidRDefault="00674BD1" w:rsidP="00674BD1">
            <w:pPr>
              <w:tabs>
                <w:tab w:val="left" w:pos="288"/>
                <w:tab w:val="left" w:pos="576"/>
                <w:tab w:val="left" w:pos="864"/>
                <w:tab w:val="left" w:pos="1152"/>
              </w:tabs>
              <w:spacing w:line="240" w:lineRule="auto"/>
              <w:ind w:left="144" w:right="43"/>
              <w:rPr>
                <w:sz w:val="2"/>
              </w:rPr>
            </w:pPr>
          </w:p>
        </w:tc>
        <w:tc>
          <w:tcPr>
            <w:tcW w:w="1971" w:type="dxa"/>
            <w:tcBorders>
              <w:top w:val="nil"/>
              <w:left w:val="nil"/>
              <w:bottom w:val="single" w:sz="12" w:space="0" w:color="auto"/>
              <w:right w:val="double" w:sz="12" w:space="0" w:color="auto"/>
            </w:tcBorders>
          </w:tcPr>
          <w:p w14:paraId="13DEC7F0" w14:textId="77777777" w:rsidR="00674BD1" w:rsidRPr="00674BD1" w:rsidRDefault="00674BD1" w:rsidP="00674BD1">
            <w:pPr>
              <w:tabs>
                <w:tab w:val="left" w:pos="288"/>
                <w:tab w:val="left" w:pos="576"/>
                <w:tab w:val="left" w:pos="864"/>
                <w:tab w:val="left" w:pos="1152"/>
              </w:tabs>
              <w:spacing w:line="240" w:lineRule="auto"/>
              <w:ind w:left="144" w:right="43"/>
              <w:rPr>
                <w:sz w:val="2"/>
              </w:rPr>
            </w:pPr>
          </w:p>
        </w:tc>
        <w:tc>
          <w:tcPr>
            <w:tcW w:w="1971" w:type="dxa"/>
            <w:tcBorders>
              <w:top w:val="nil"/>
              <w:left w:val="double" w:sz="12" w:space="0" w:color="auto"/>
              <w:bottom w:val="single" w:sz="12" w:space="0" w:color="auto"/>
              <w:right w:val="nil"/>
            </w:tcBorders>
          </w:tcPr>
          <w:p w14:paraId="64A8F583" w14:textId="77777777" w:rsidR="00674BD1" w:rsidRPr="00674BD1" w:rsidRDefault="00674BD1" w:rsidP="00674BD1">
            <w:pPr>
              <w:tabs>
                <w:tab w:val="left" w:pos="288"/>
                <w:tab w:val="left" w:pos="576"/>
                <w:tab w:val="left" w:pos="864"/>
                <w:tab w:val="left" w:pos="1152"/>
              </w:tabs>
              <w:spacing w:line="240" w:lineRule="auto"/>
              <w:ind w:left="144" w:right="43"/>
              <w:rPr>
                <w:sz w:val="2"/>
              </w:rPr>
            </w:pPr>
          </w:p>
        </w:tc>
        <w:tc>
          <w:tcPr>
            <w:tcW w:w="1971" w:type="dxa"/>
            <w:tcBorders>
              <w:top w:val="nil"/>
              <w:left w:val="nil"/>
              <w:bottom w:val="single" w:sz="12" w:space="0" w:color="auto"/>
              <w:right w:val="nil"/>
            </w:tcBorders>
          </w:tcPr>
          <w:p w14:paraId="40DF8CB0" w14:textId="77777777" w:rsidR="00674BD1" w:rsidRPr="00674BD1" w:rsidRDefault="00674BD1" w:rsidP="00674BD1">
            <w:pPr>
              <w:tabs>
                <w:tab w:val="left" w:pos="288"/>
                <w:tab w:val="left" w:pos="576"/>
                <w:tab w:val="left" w:pos="864"/>
                <w:tab w:val="left" w:pos="1152"/>
              </w:tabs>
              <w:spacing w:line="240" w:lineRule="auto"/>
              <w:ind w:left="144" w:right="43"/>
              <w:rPr>
                <w:sz w:val="2"/>
              </w:rPr>
            </w:pPr>
          </w:p>
        </w:tc>
      </w:tr>
    </w:tbl>
    <w:p w14:paraId="2AE603FE" w14:textId="77777777" w:rsidR="0016696A" w:rsidRPr="00B10D24" w:rsidRDefault="0016696A" w:rsidP="0016696A">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533E0E4" w14:textId="77777777" w:rsidR="0016696A" w:rsidRPr="00B10D24" w:rsidRDefault="0016696A" w:rsidP="0016696A">
      <w:pPr>
        <w:pStyle w:val="FootnoteText"/>
        <w:tabs>
          <w:tab w:val="clear" w:pos="418"/>
          <w:tab w:val="right" w:pos="216"/>
          <w:tab w:val="left" w:pos="288"/>
          <w:tab w:val="right" w:pos="576"/>
          <w:tab w:val="left" w:pos="648"/>
        </w:tabs>
        <w:ind w:left="288" w:hanging="288"/>
      </w:pPr>
      <w:r w:rsidRPr="00B10D24">
        <w:tab/>
      </w:r>
      <w:r w:rsidRPr="00B10D24">
        <w:rPr>
          <w:i/>
          <w:iCs/>
          <w:vertAlign w:val="superscript"/>
        </w:rPr>
        <w:t>a</w:t>
      </w:r>
      <w:r w:rsidRPr="00B10D24">
        <w:tab/>
      </w:r>
      <w:r w:rsidRPr="00B10D24">
        <w:tab/>
        <w:t>To maintain accountability for initial programme plans, the 2021 target is carried forward from the proposed programme budget for 2021 and reflects best estimates at that point in time before the COVID-19 pandemic. Programme performance for 2021 will be reported in the proposed programme budget for 2023.</w:t>
      </w:r>
    </w:p>
    <w:p w14:paraId="42477ED1" w14:textId="7B3191AE" w:rsidR="0016696A" w:rsidRPr="008A3FD9" w:rsidRDefault="0016696A"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7AEB70C" w14:textId="44B1247F" w:rsidR="008A3FD9" w:rsidRPr="008A3FD9" w:rsidRDefault="008A3FD9"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3FD2378" w14:textId="77777777" w:rsidR="008A3FD9" w:rsidRPr="00E96905" w:rsidRDefault="008A3FD9" w:rsidP="002D4D9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ab/>
      </w:r>
      <w:r w:rsidRPr="00E96905">
        <w:tab/>
        <w:t>Result 2: inclusive cities: enhancing the positive impacts of urban migration</w:t>
      </w:r>
      <w:r w:rsidRPr="00E96905">
        <w:rPr>
          <w:rStyle w:val="FootnoteReference"/>
          <w:b w:val="0"/>
          <w:bCs/>
        </w:rPr>
        <w:footnoteReference w:id="9"/>
      </w:r>
    </w:p>
    <w:p w14:paraId="31469BA5" w14:textId="77777777" w:rsidR="008A3FD9" w:rsidRPr="00E96905" w:rsidRDefault="008A3FD9" w:rsidP="002D4D92">
      <w:pPr>
        <w:pStyle w:val="SingleTxt"/>
        <w:keepNext/>
        <w:keepLines/>
        <w:spacing w:after="0" w:line="120" w:lineRule="exact"/>
        <w:rPr>
          <w:sz w:val="10"/>
        </w:rPr>
      </w:pPr>
    </w:p>
    <w:p w14:paraId="7CCDD5BD" w14:textId="77777777" w:rsidR="008A3FD9" w:rsidRPr="00E96905" w:rsidRDefault="008A3FD9" w:rsidP="002D4D9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ab/>
      </w:r>
      <w:r w:rsidRPr="00E96905">
        <w:tab/>
        <w:t xml:space="preserve">Programme performance in 2020 </w:t>
      </w:r>
    </w:p>
    <w:p w14:paraId="7F8DBAD4" w14:textId="77777777" w:rsidR="008A3FD9" w:rsidRPr="00E96905" w:rsidRDefault="008A3FD9" w:rsidP="002D4D92">
      <w:pPr>
        <w:pStyle w:val="SingleTxt"/>
        <w:keepNext/>
        <w:keepLines/>
        <w:spacing w:after="0" w:line="120" w:lineRule="exact"/>
        <w:rPr>
          <w:sz w:val="10"/>
          <w:lang w:val="en-US"/>
        </w:rPr>
      </w:pPr>
    </w:p>
    <w:p w14:paraId="7B454AED" w14:textId="77777777" w:rsidR="008A3FD9" w:rsidRPr="00E96905" w:rsidRDefault="008A3FD9" w:rsidP="002D4D9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15.121</w:t>
      </w:r>
      <w:r w:rsidRPr="00E96905">
        <w:tab/>
        <w:t>Migrants and displaced persons (including internally displaced persons) are increasingly residing in and moving towards urban areas. The rapid influx of additional inhabitants to cities due to human-made or natural hazards puts stress on urban systems and affects service provision as well as the availability of adequate housing, infrastructure and livelihood opportunities. The subprogramme has worked in multiple regions to support Member States facing major migration or displacement-related challenges. In 2020, this included the development of urban spatial profiles in Latin America, the Arab States/Middle East and North Africa region, Africa and Asia; workshops to build local capacity in using participatory planning to increase social cohesion; the drafting of recommendations and guidance documents; and the provision of technical advisory services to advance area-based, cross-sectoral, multi-stakeholder, multilevel governance approaches to migrant inclusion in cities. The subprogramme contributed to strengthening the synergies between the humanitarian, development, and peace pillars, as the subprogramme’s objective is to improve the lives of urban refugees, migrants and internally displaced persons, while also supporting host communities, through the promotion of area-based, whole-of-government and whole-of-society approaches. Furthermore, the subprogramme’s work in urban crisis contexts ranged from spatial and participatory data collection (urban profiling) for evidence-based decision-making to policy recommendations, capacity-building and pilot project implementation. Building upon experiences from countries such as Iraq, Lebanon and Somalia, teams in different countries developed master plans and regeneration projects, including planned city extensions and the upgrading of underserviced neighbourhoods inhabited by the urban poor and other persons in vulnerable situations.</w:t>
      </w:r>
    </w:p>
    <w:p w14:paraId="2C58664D" w14:textId="77777777" w:rsidR="008A3FD9" w:rsidRPr="00E96905" w:rsidRDefault="008A3FD9"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15.122</w:t>
      </w:r>
      <w:r w:rsidRPr="00E96905">
        <w:tab/>
        <w:t xml:space="preserve">The above-mentioned work contributed to supporting 96 cities in applying participatory planning methodologies through participatory data collection and consultations with all relevant stakeholders and to fostering increased social cohesion between migrant, displaced and host communities, which met the planned target reflected in the proposed programme budget for 2021. Interventions aimed at improving the standard of living of all people in cities and communities, for example, through increased access to basic, social and urban services, land tenure security and housing, were based on participatory processes and verifiable urban data. </w:t>
      </w:r>
    </w:p>
    <w:p w14:paraId="565969B8" w14:textId="77777777" w:rsidR="008A3FD9" w:rsidRPr="00E96905" w:rsidRDefault="008A3FD9" w:rsidP="008A3FD9">
      <w:pPr>
        <w:pStyle w:val="SingleTxt"/>
        <w:spacing w:after="0" w:line="120" w:lineRule="exact"/>
        <w:rPr>
          <w:sz w:val="10"/>
        </w:rPr>
      </w:pPr>
    </w:p>
    <w:p w14:paraId="3F399834" w14:textId="77777777" w:rsidR="008A3FD9" w:rsidRPr="00E96905" w:rsidRDefault="008A3FD9" w:rsidP="008A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ab/>
      </w:r>
      <w:r w:rsidRPr="00E96905">
        <w:tab/>
        <w:t>Proposed programme plan for 2022</w:t>
      </w:r>
    </w:p>
    <w:p w14:paraId="1F90CCFF" w14:textId="77777777" w:rsidR="008A3FD9" w:rsidRPr="00E96905" w:rsidRDefault="008A3FD9" w:rsidP="008A3FD9">
      <w:pPr>
        <w:pStyle w:val="SingleTxt"/>
        <w:spacing w:after="0" w:line="120" w:lineRule="exact"/>
        <w:rPr>
          <w:sz w:val="10"/>
          <w:lang w:val="en-US"/>
        </w:rPr>
      </w:pPr>
    </w:p>
    <w:p w14:paraId="11151EC4" w14:textId="77777777" w:rsidR="008A3FD9" w:rsidRPr="00E96905" w:rsidRDefault="008A3FD9"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15.123</w:t>
      </w:r>
      <w:r w:rsidRPr="00E96905">
        <w:tab/>
        <w:t>The subprogramme will continue the work related to the planned result, in line with its mandate. To contribute to further progress towards the objective, the subprogramme will continue to work to support governments at all levels in advancing rights-based approaches for the inclusion of migrants and displaced people in cities. Work will be undertaken to focus its activities on developing integrated and inclusive projects (including research, spatial data collection and analysis, review and recommendations for policy environments, training, guidance and advisory services and advocacy at the global level) that support the improvement of the living conditions of people in vulnerable situations. The expected progress is presented in the performance measure below (see figure 15.X).</w:t>
      </w:r>
    </w:p>
    <w:p w14:paraId="724A0DA8" w14:textId="77777777" w:rsidR="008A3FD9" w:rsidRPr="00E96905" w:rsidRDefault="008A3FD9"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74D8831" w14:textId="77777777" w:rsidR="002D4D92" w:rsidRDefault="002D4D92">
      <w:pPr>
        <w:suppressAutoHyphens w:val="0"/>
        <w:spacing w:after="200" w:line="276" w:lineRule="auto"/>
      </w:pPr>
      <w:r>
        <w:br w:type="page"/>
      </w:r>
    </w:p>
    <w:p w14:paraId="1DFAD8AD" w14:textId="79B53209" w:rsidR="008A3FD9" w:rsidRPr="00E96905" w:rsidRDefault="008A3FD9" w:rsidP="008A3FD9">
      <w:r w:rsidRPr="00E96905">
        <w:lastRenderedPageBreak/>
        <w:t>Figure 15.X</w:t>
      </w:r>
    </w:p>
    <w:p w14:paraId="3B571507" w14:textId="77777777" w:rsidR="008A3FD9" w:rsidRPr="00E96905" w:rsidRDefault="008A3FD9" w:rsidP="008A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75"/>
      </w:pPr>
      <w:r w:rsidRPr="00E96905">
        <w:t>Performance measure: total number of cities applying participatory planning methodologies (cumulative)</w:t>
      </w:r>
    </w:p>
    <w:p w14:paraId="16CE7F84" w14:textId="77777777" w:rsidR="008A3FD9" w:rsidRPr="00E96905" w:rsidRDefault="008A3FD9" w:rsidP="008A3FD9">
      <w:pPr>
        <w:pStyle w:val="SingleTxt"/>
        <w:spacing w:after="0" w:line="120" w:lineRule="exact"/>
        <w:rPr>
          <w:sz w:val="10"/>
        </w:rPr>
      </w:pPr>
    </w:p>
    <w:p w14:paraId="0AFEB9DB" w14:textId="7A50C79A" w:rsidR="008A3FD9" w:rsidRPr="00E96905" w:rsidRDefault="002D4D92" w:rsidP="008A3FD9">
      <w:pPr>
        <w:pStyle w:val="SingleTxt"/>
        <w:spacing w:after="0" w:line="120" w:lineRule="exact"/>
        <w:rPr>
          <w:sz w:val="10"/>
        </w:rPr>
      </w:pPr>
      <w:r>
        <w:rPr>
          <w:noProof/>
          <w:lang w:val="en-US"/>
        </w:rPr>
        <w:drawing>
          <wp:anchor distT="0" distB="0" distL="114300" distR="114300" simplePos="0" relativeHeight="251682816" behindDoc="0" locked="0" layoutInCell="1" allowOverlap="1" wp14:anchorId="23F497F1" wp14:editId="21B3280A">
            <wp:simplePos x="0" y="0"/>
            <wp:positionH relativeFrom="margin">
              <wp:align>right</wp:align>
            </wp:positionH>
            <wp:positionV relativeFrom="paragraph">
              <wp:posOffset>76067</wp:posOffset>
            </wp:positionV>
            <wp:extent cx="6254750" cy="1725295"/>
            <wp:effectExtent l="0" t="0" r="0" b="825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6254750" cy="1725295"/>
                    </a:xfrm>
                    <a:prstGeom prst="rect">
                      <a:avLst/>
                    </a:prstGeom>
                    <a:noFill/>
                  </pic:spPr>
                </pic:pic>
              </a:graphicData>
            </a:graphic>
            <wp14:sizeRelH relativeFrom="page">
              <wp14:pctWidth>0</wp14:pctWidth>
            </wp14:sizeRelH>
            <wp14:sizeRelV relativeFrom="page">
              <wp14:pctHeight>0</wp14:pctHeight>
            </wp14:sizeRelV>
          </wp:anchor>
        </w:drawing>
      </w:r>
    </w:p>
    <w:p w14:paraId="1F485877" w14:textId="77777777" w:rsidR="002D4D92" w:rsidRPr="002D4D92" w:rsidRDefault="002D4D92" w:rsidP="002D4D92">
      <w:pPr>
        <w:pStyle w:val="FootnoteText"/>
        <w:tabs>
          <w:tab w:val="clear" w:pos="418"/>
          <w:tab w:val="right" w:pos="216"/>
          <w:tab w:val="left" w:pos="288"/>
          <w:tab w:val="right" w:pos="576"/>
          <w:tab w:val="left" w:pos="648"/>
        </w:tabs>
        <w:spacing w:line="120" w:lineRule="exact"/>
        <w:ind w:left="288" w:hanging="288"/>
        <w:rPr>
          <w:sz w:val="10"/>
        </w:rPr>
      </w:pPr>
    </w:p>
    <w:p w14:paraId="5AA5D1B4" w14:textId="7113CA64" w:rsidR="008A3FD9" w:rsidRDefault="008A3FD9" w:rsidP="008A3FD9">
      <w:pPr>
        <w:pStyle w:val="FootnoteText"/>
        <w:tabs>
          <w:tab w:val="clear" w:pos="418"/>
          <w:tab w:val="right" w:pos="216"/>
          <w:tab w:val="left" w:pos="288"/>
          <w:tab w:val="right" w:pos="576"/>
          <w:tab w:val="left" w:pos="648"/>
        </w:tabs>
        <w:ind w:left="288" w:hanging="288"/>
      </w:pPr>
      <w:r w:rsidRPr="00E96905">
        <w:tab/>
      </w:r>
      <w:r w:rsidRPr="00E96905">
        <w:rPr>
          <w:i/>
          <w:iCs/>
          <w:vertAlign w:val="superscript"/>
        </w:rPr>
        <w:t>a</w:t>
      </w:r>
      <w:r w:rsidRPr="00E96905">
        <w:tab/>
        <w:t>To maintain accountability for initial programme plans, the 2021 target is carried forward from the proposed programme budget for 2021 and reflects best estimates at that point in time before the COVID-19 pandemic. Programme performance for 2021 will be reported in the proposed programme budget for 2023.</w:t>
      </w:r>
    </w:p>
    <w:p w14:paraId="1361EABC" w14:textId="2E76E585" w:rsidR="002D4D92" w:rsidRPr="002D4D92" w:rsidRDefault="002D4D92" w:rsidP="002D4D92">
      <w:pPr>
        <w:pStyle w:val="SingleTxt"/>
        <w:spacing w:after="0" w:line="120" w:lineRule="exact"/>
        <w:rPr>
          <w:sz w:val="10"/>
        </w:rPr>
      </w:pPr>
    </w:p>
    <w:p w14:paraId="224FF423" w14:textId="7055ADDE" w:rsidR="002D4D92" w:rsidRPr="002D4D92" w:rsidRDefault="002D4D92" w:rsidP="002D4D92">
      <w:pPr>
        <w:pStyle w:val="SingleTxt"/>
        <w:spacing w:after="0" w:line="120" w:lineRule="exact"/>
        <w:rPr>
          <w:sz w:val="10"/>
        </w:rPr>
      </w:pPr>
    </w:p>
    <w:p w14:paraId="266AD06B" w14:textId="77777777" w:rsidR="008A3FD9" w:rsidRPr="00E96905" w:rsidRDefault="008A3FD9" w:rsidP="008A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ab/>
      </w:r>
      <w:r w:rsidRPr="00E96905">
        <w:tab/>
        <w:t>Result 3: a new approach to strengthen city resilience</w:t>
      </w:r>
    </w:p>
    <w:p w14:paraId="6ACA4D2B" w14:textId="77777777" w:rsidR="008A3FD9" w:rsidRPr="00E96905" w:rsidRDefault="008A3FD9" w:rsidP="008A3FD9">
      <w:pPr>
        <w:pStyle w:val="SingleTxt"/>
        <w:spacing w:after="0" w:line="120" w:lineRule="exact"/>
        <w:rPr>
          <w:sz w:val="10"/>
        </w:rPr>
      </w:pPr>
    </w:p>
    <w:p w14:paraId="6DFF6294" w14:textId="77777777" w:rsidR="008A3FD9" w:rsidRPr="00E96905" w:rsidRDefault="008A3FD9" w:rsidP="008A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ab/>
      </w:r>
      <w:r w:rsidRPr="00E96905">
        <w:tab/>
        <w:t>Proposed programme plan for 2022</w:t>
      </w:r>
    </w:p>
    <w:p w14:paraId="7975C09F" w14:textId="77777777" w:rsidR="008A3FD9" w:rsidRPr="00E96905" w:rsidRDefault="008A3FD9" w:rsidP="008A3FD9">
      <w:pPr>
        <w:pStyle w:val="SingleTxt"/>
        <w:spacing w:after="0" w:line="120" w:lineRule="exact"/>
        <w:rPr>
          <w:sz w:val="10"/>
          <w:lang w:val="en-US"/>
        </w:rPr>
      </w:pPr>
    </w:p>
    <w:p w14:paraId="356B9384" w14:textId="77777777" w:rsidR="008A3FD9" w:rsidRPr="00E96905" w:rsidRDefault="008A3FD9"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15.124</w:t>
      </w:r>
      <w:r w:rsidRPr="00E96905">
        <w:tab/>
        <w:t xml:space="preserve">With more than 50 per cent of the world’s population living in urban areas, and a projected increase to 70 per cent by 2050, challenges in cities are increasing daily. These include internal stresses, such as the limited capacity of service providers to provide basic services such as water to the inhabitants of a city, as well as external shocks such as natural disasters that could potentially disrupt the functioning of a city. The subprogramme’s City Resilience Global Programme works through a multi-hazard, multi-stakeholder and multisectoral approach to building resilient cities, taking into consideration the complexities of urban systems. A recent example of the success of this approach has been the response of cities to the COVID-19 pandemic, for which the subprogramme provided mayors with support in relation to evidence-based decision-making on the basis of city-based data collection, analysis and diagnosis and the development by municipality personnel of technically actionable recommendations, using City Resilience Global Programme approaches, tools and indicators. The City Resilience Global Programme methodology has been calibrated in a broad range of completely different city settings in order to make sure that it is adaptable to different contextual and cultural realities, where resources and capacities may vary greatly. </w:t>
      </w:r>
    </w:p>
    <w:p w14:paraId="7B06FD40" w14:textId="77777777" w:rsidR="008A3FD9" w:rsidRPr="00E96905" w:rsidRDefault="008A3FD9"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62E7955" w14:textId="77777777" w:rsidR="008A3FD9" w:rsidRPr="00E96905" w:rsidRDefault="008A3FD9" w:rsidP="008A3FD9">
      <w:pPr>
        <w:pStyle w:val="H4"/>
        <w:ind w:right="1260"/>
      </w:pPr>
      <w:r w:rsidRPr="00E96905">
        <w:tab/>
      </w:r>
      <w:r w:rsidRPr="00E96905">
        <w:tab/>
        <w:t>Lessons learned and planned change</w:t>
      </w:r>
    </w:p>
    <w:p w14:paraId="4FF1A019" w14:textId="77777777" w:rsidR="008A3FD9" w:rsidRPr="00E96905" w:rsidRDefault="008A3FD9" w:rsidP="008A3FD9">
      <w:pPr>
        <w:spacing w:line="120" w:lineRule="exact"/>
        <w:rPr>
          <w:sz w:val="10"/>
        </w:rPr>
      </w:pPr>
    </w:p>
    <w:p w14:paraId="0397C058" w14:textId="77777777" w:rsidR="008A3FD9" w:rsidRPr="00E96905" w:rsidRDefault="008A3FD9"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15.125</w:t>
      </w:r>
      <w:r w:rsidRPr="00E96905">
        <w:tab/>
        <w:t>The lesson for the subprogramme was that regardless of the context and diversity of challenges in any given city, the main urban systems, elements and basic infrastructure needed are similar. Therefore, the need for a flexible conceptual framework such as the City Resilience Global Programme that maps out challenges, shocks and stresses and includes relevant actors across the urban landscape is of critical importance. In applying the lesson, the subprogramme will support cities in automating urban systems data while contextualizing that data to take into account different stakeholders and specific challenges or shocks. The subprogramme will also respond to increasing requests from cities to build their resilience to potential shocks.</w:t>
      </w:r>
    </w:p>
    <w:p w14:paraId="6FBA9A9A" w14:textId="77777777" w:rsidR="008A3FD9" w:rsidRPr="00E96905" w:rsidRDefault="008A3FD9" w:rsidP="008A3FD9">
      <w:pPr>
        <w:pStyle w:val="SingleTxt"/>
        <w:spacing w:after="0" w:line="120" w:lineRule="exact"/>
        <w:rPr>
          <w:sz w:val="10"/>
        </w:rPr>
      </w:pPr>
    </w:p>
    <w:p w14:paraId="64C9ED58" w14:textId="77777777" w:rsidR="008A3FD9" w:rsidRPr="00E96905" w:rsidRDefault="008A3FD9" w:rsidP="008A3FD9">
      <w:pPr>
        <w:pStyle w:val="H4"/>
        <w:ind w:right="1260"/>
      </w:pPr>
      <w:r w:rsidRPr="00E96905">
        <w:tab/>
      </w:r>
      <w:r w:rsidRPr="00E96905">
        <w:tab/>
        <w:t>Expected progress towards the attainment of the objective, and performance measure</w:t>
      </w:r>
    </w:p>
    <w:p w14:paraId="31A33C49" w14:textId="77777777" w:rsidR="008A3FD9" w:rsidRPr="00E96905" w:rsidRDefault="008A3FD9" w:rsidP="008A3FD9">
      <w:pPr>
        <w:pStyle w:val="SingleTxt"/>
        <w:spacing w:after="0" w:line="120" w:lineRule="exact"/>
        <w:rPr>
          <w:sz w:val="10"/>
        </w:rPr>
      </w:pPr>
    </w:p>
    <w:p w14:paraId="5E4C84E6" w14:textId="77777777" w:rsidR="008A3FD9" w:rsidRPr="00E96905" w:rsidRDefault="008A3FD9"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15.126</w:t>
      </w:r>
      <w:r w:rsidRPr="00E96905">
        <w:tab/>
        <w:t xml:space="preserve">This work is expected to contribute to the objective, as demonstrated by the growing number of cities adopting and investing in the City Resilience Global Programme methodology. This will increase by two cities in the programme period, and the subprogramme will develop tools in parallel that will provide increased upscaling capacity and support the production of policies and guidelines for national and local authorities (see figure 15.XI). </w:t>
      </w:r>
    </w:p>
    <w:p w14:paraId="3893573A" w14:textId="77777777" w:rsidR="008A3FD9" w:rsidRPr="00E96905" w:rsidRDefault="008A3FD9"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7862696" w14:textId="77777777" w:rsidR="008A3FD9" w:rsidRPr="00E96905" w:rsidRDefault="008A3FD9" w:rsidP="008A3FD9">
      <w:r w:rsidRPr="00E96905">
        <w:lastRenderedPageBreak/>
        <w:t>Figure 15.XI</w:t>
      </w:r>
    </w:p>
    <w:p w14:paraId="40830C27" w14:textId="77777777" w:rsidR="008A3FD9" w:rsidRPr="00E96905" w:rsidRDefault="008A3FD9" w:rsidP="008A3FD9">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230"/>
      </w:pPr>
      <w:r w:rsidRPr="00E96905">
        <w:tab/>
        <w:t>Performance measure: total number of cities implementing the City Resilience Global Programme (cumulative)</w:t>
      </w:r>
    </w:p>
    <w:p w14:paraId="7E760ED4" w14:textId="77777777" w:rsidR="008A3FD9" w:rsidRPr="00E96905" w:rsidRDefault="008A3FD9" w:rsidP="008A3FD9">
      <w:pPr>
        <w:pStyle w:val="SingleTxt"/>
        <w:spacing w:after="0" w:line="120" w:lineRule="exact"/>
        <w:rPr>
          <w:sz w:val="10"/>
        </w:rPr>
      </w:pPr>
    </w:p>
    <w:p w14:paraId="1223D2FB" w14:textId="7E49A476" w:rsidR="008A3FD9" w:rsidRPr="00E96905" w:rsidRDefault="002D4D92" w:rsidP="008A3FD9">
      <w:pPr>
        <w:pStyle w:val="SingleTxt"/>
        <w:spacing w:after="0" w:line="120" w:lineRule="exact"/>
        <w:rPr>
          <w:sz w:val="10"/>
        </w:rPr>
      </w:pPr>
      <w:r>
        <w:rPr>
          <w:noProof/>
          <w:lang w:val="en-US"/>
        </w:rPr>
        <w:drawing>
          <wp:anchor distT="0" distB="0" distL="114300" distR="114300" simplePos="0" relativeHeight="251684864" behindDoc="0" locked="0" layoutInCell="1" allowOverlap="1" wp14:anchorId="22967CD5" wp14:editId="6A374145">
            <wp:simplePos x="0" y="0"/>
            <wp:positionH relativeFrom="margin">
              <wp:align>right</wp:align>
            </wp:positionH>
            <wp:positionV relativeFrom="paragraph">
              <wp:posOffset>81677</wp:posOffset>
            </wp:positionV>
            <wp:extent cx="6254750" cy="186880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72">
                      <a:extLst>
                        <a:ext uri="{28A0092B-C50C-407E-A947-70E740481C1C}">
                          <a14:useLocalDpi xmlns:a14="http://schemas.microsoft.com/office/drawing/2010/main" val="0"/>
                        </a:ext>
                      </a:extLst>
                    </a:blip>
                    <a:srcRect t="5382"/>
                    <a:stretch/>
                  </pic:blipFill>
                  <pic:spPr bwMode="auto">
                    <a:xfrm>
                      <a:off x="0" y="0"/>
                      <a:ext cx="6254750" cy="186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3619352" w14:textId="14B275B4" w:rsidR="008A3FD9" w:rsidRPr="002D4D92" w:rsidRDefault="008A3FD9" w:rsidP="002D4D92">
      <w:pPr>
        <w:pStyle w:val="SingleTxt"/>
        <w:spacing w:after="0" w:line="120" w:lineRule="exact"/>
        <w:rPr>
          <w:sz w:val="10"/>
        </w:rPr>
      </w:pPr>
    </w:p>
    <w:p w14:paraId="1D5A4A0B" w14:textId="2BD73EB2" w:rsidR="002D4D92" w:rsidRPr="002D4D92" w:rsidRDefault="002D4D92" w:rsidP="002D4D92">
      <w:pPr>
        <w:pStyle w:val="SingleTxt"/>
        <w:spacing w:after="0" w:line="120" w:lineRule="exact"/>
        <w:rPr>
          <w:sz w:val="10"/>
        </w:rPr>
      </w:pPr>
    </w:p>
    <w:p w14:paraId="7B8CFD11" w14:textId="6AD55D2D" w:rsidR="002D4D92" w:rsidRPr="002D4D92" w:rsidRDefault="002D4D92" w:rsidP="002D4D92">
      <w:pPr>
        <w:pStyle w:val="SingleTxt"/>
        <w:spacing w:after="0" w:line="120" w:lineRule="exact"/>
        <w:rPr>
          <w:sz w:val="10"/>
        </w:rPr>
      </w:pPr>
    </w:p>
    <w:p w14:paraId="204B1F83" w14:textId="77777777" w:rsidR="008A3FD9" w:rsidRPr="00E96905" w:rsidRDefault="008A3FD9" w:rsidP="008A3FD9">
      <w:pPr>
        <w:pStyle w:val="H1"/>
        <w:ind w:right="1260"/>
      </w:pPr>
      <w:r w:rsidRPr="00E96905">
        <w:tab/>
      </w:r>
      <w:r w:rsidRPr="00E96905">
        <w:tab/>
        <w:t xml:space="preserve">Legislative mandates </w:t>
      </w:r>
    </w:p>
    <w:p w14:paraId="7D04A2A1" w14:textId="77777777" w:rsidR="008A3FD9" w:rsidRPr="00E96905" w:rsidRDefault="008A3FD9" w:rsidP="008A3FD9">
      <w:pPr>
        <w:pStyle w:val="SingleTxt"/>
        <w:spacing w:after="0" w:line="120" w:lineRule="exact"/>
        <w:rPr>
          <w:sz w:val="10"/>
        </w:rPr>
      </w:pPr>
    </w:p>
    <w:p w14:paraId="35DFE39D" w14:textId="77777777" w:rsidR="008A3FD9" w:rsidRPr="00E96905" w:rsidRDefault="008A3FD9" w:rsidP="008A3FD9">
      <w:pPr>
        <w:pStyle w:val="SingleTxt"/>
        <w:spacing w:after="0" w:line="120" w:lineRule="exact"/>
        <w:rPr>
          <w:sz w:val="10"/>
        </w:rPr>
      </w:pPr>
    </w:p>
    <w:p w14:paraId="692BD1E1" w14:textId="77777777" w:rsidR="008A3FD9" w:rsidRPr="00E96905" w:rsidRDefault="008A3FD9" w:rsidP="008A3FD9">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15.127</w:t>
      </w:r>
      <w:r w:rsidRPr="00E96905">
        <w:tab/>
        <w:t>The list below provides all mandates entrusted to the subprogramme.</w:t>
      </w:r>
    </w:p>
    <w:p w14:paraId="511F8864" w14:textId="77777777" w:rsidR="008A3FD9" w:rsidRPr="00E96905" w:rsidRDefault="008A3FD9" w:rsidP="008A3FD9">
      <w:pPr>
        <w:pStyle w:val="SingleTxt"/>
        <w:spacing w:after="0" w:line="120" w:lineRule="exact"/>
        <w:rPr>
          <w:sz w:val="10"/>
        </w:rPr>
      </w:pPr>
    </w:p>
    <w:p w14:paraId="41C0547F" w14:textId="77777777" w:rsidR="008A3FD9" w:rsidRPr="00E96905" w:rsidRDefault="008A3FD9" w:rsidP="008A3FD9">
      <w:pPr>
        <w:pStyle w:val="H4"/>
        <w:ind w:right="1260"/>
      </w:pPr>
      <w:r w:rsidRPr="00E96905">
        <w:tab/>
        <w:t>General Assembly resolutions</w:t>
      </w:r>
    </w:p>
    <w:p w14:paraId="5AD1ED82" w14:textId="50F68548" w:rsidR="008A3FD9" w:rsidRPr="008007D3" w:rsidRDefault="008A3FD9" w:rsidP="008007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C640A81" w14:textId="44F3A731" w:rsidR="008007D3" w:rsidRPr="008007D3" w:rsidRDefault="008007D3" w:rsidP="008007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1267" w:hanging="1267"/>
        <w:jc w:val="both"/>
        <w:rPr>
          <w:sz w:val="2"/>
        </w:rPr>
      </w:pPr>
    </w:p>
    <w:p w14:paraId="7B335EC8" w14:textId="77777777" w:rsidR="008007D3" w:rsidRPr="008007D3" w:rsidRDefault="008007D3" w:rsidP="008007D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240" w:lineRule="auto"/>
        <w:ind w:left="1267" w:hanging="1267"/>
        <w:jc w:val="both"/>
        <w:rPr>
          <w:sz w:val="2"/>
        </w:rPr>
        <w:sectPr w:rsidR="008007D3" w:rsidRPr="008007D3" w:rsidSect="0016696A">
          <w:endnotePr>
            <w:numFmt w:val="decimal"/>
          </w:endnotePr>
          <w:type w:val="continuous"/>
          <w:pgSz w:w="12240" w:h="15840"/>
          <w:pgMar w:top="1440" w:right="1195" w:bottom="1152" w:left="1195" w:header="432" w:footer="504" w:gutter="0"/>
          <w:cols w:space="720"/>
          <w:noEndnote/>
          <w:docGrid w:linePitch="360"/>
        </w:sectPr>
      </w:pPr>
    </w:p>
    <w:tbl>
      <w:tblPr>
        <w:tblW w:w="5000" w:type="pct"/>
        <w:tblCellMar>
          <w:left w:w="0" w:type="dxa"/>
          <w:right w:w="0" w:type="dxa"/>
        </w:tblCellMar>
        <w:tblLook w:val="0000" w:firstRow="0" w:lastRow="0" w:firstColumn="0" w:lastColumn="0" w:noHBand="0" w:noVBand="0"/>
      </w:tblPr>
      <w:tblGrid>
        <w:gridCol w:w="1260"/>
        <w:gridCol w:w="3545"/>
      </w:tblGrid>
      <w:tr w:rsidR="008007D3" w:rsidRPr="008007D3" w14:paraId="73ED6C1F" w14:textId="77777777" w:rsidTr="00674BD1">
        <w:tc>
          <w:tcPr>
            <w:tcW w:w="1311" w:type="pct"/>
            <w:shd w:val="clear" w:color="auto" w:fill="auto"/>
          </w:tcPr>
          <w:p w14:paraId="31AD49E8" w14:textId="7DF661A1" w:rsidR="008007D3" w:rsidRPr="008007D3" w:rsidRDefault="0078207D" w:rsidP="008007D3">
            <w:pPr>
              <w:keepNext/>
              <w:keepLines/>
              <w:tabs>
                <w:tab w:val="left" w:pos="288"/>
                <w:tab w:val="left" w:pos="576"/>
                <w:tab w:val="left" w:pos="864"/>
                <w:tab w:val="left" w:pos="1152"/>
              </w:tabs>
              <w:spacing w:before="40" w:after="40" w:line="200" w:lineRule="exact"/>
              <w:ind w:right="43"/>
              <w:rPr>
                <w:color w:val="000000" w:themeColor="text1"/>
                <w:sz w:val="17"/>
                <w:szCs w:val="17"/>
              </w:rPr>
            </w:pPr>
            <w:hyperlink r:id="rId73" w:history="1">
              <w:r w:rsidR="008007D3" w:rsidRPr="008007D3">
                <w:rPr>
                  <w:rStyle w:val="Hyperlink"/>
                  <w:sz w:val="17"/>
                  <w:szCs w:val="17"/>
                </w:rPr>
                <w:t>64/292</w:t>
              </w:r>
            </w:hyperlink>
          </w:p>
        </w:tc>
        <w:tc>
          <w:tcPr>
            <w:tcW w:w="3689" w:type="pct"/>
            <w:shd w:val="clear" w:color="auto" w:fill="auto"/>
          </w:tcPr>
          <w:p w14:paraId="5FF9242B" w14:textId="77777777" w:rsidR="008007D3" w:rsidRPr="008007D3" w:rsidRDefault="008007D3" w:rsidP="008007D3">
            <w:pPr>
              <w:tabs>
                <w:tab w:val="left" w:pos="288"/>
                <w:tab w:val="left" w:pos="576"/>
                <w:tab w:val="left" w:pos="864"/>
                <w:tab w:val="left" w:pos="1152"/>
              </w:tabs>
              <w:spacing w:before="40" w:after="40" w:line="200" w:lineRule="exact"/>
              <w:ind w:left="86" w:right="43"/>
              <w:rPr>
                <w:color w:val="000000" w:themeColor="text1"/>
                <w:sz w:val="17"/>
                <w:szCs w:val="17"/>
              </w:rPr>
            </w:pPr>
            <w:r w:rsidRPr="008007D3">
              <w:rPr>
                <w:color w:val="000000" w:themeColor="text1"/>
                <w:sz w:val="17"/>
                <w:szCs w:val="17"/>
              </w:rPr>
              <w:t>The human right to water and sanitation</w:t>
            </w:r>
          </w:p>
        </w:tc>
      </w:tr>
      <w:tr w:rsidR="008007D3" w:rsidRPr="008007D3" w14:paraId="700A1B1E" w14:textId="77777777" w:rsidTr="00674BD1">
        <w:tc>
          <w:tcPr>
            <w:tcW w:w="1311" w:type="pct"/>
            <w:shd w:val="clear" w:color="auto" w:fill="auto"/>
          </w:tcPr>
          <w:p w14:paraId="7659CDAE" w14:textId="700C5F09" w:rsidR="008007D3" w:rsidRPr="008007D3" w:rsidRDefault="0078207D" w:rsidP="008007D3">
            <w:pPr>
              <w:keepNext/>
              <w:keepLines/>
              <w:tabs>
                <w:tab w:val="left" w:pos="288"/>
                <w:tab w:val="left" w:pos="576"/>
                <w:tab w:val="left" w:pos="864"/>
                <w:tab w:val="left" w:pos="1152"/>
              </w:tabs>
              <w:spacing w:before="40" w:after="40" w:line="200" w:lineRule="exact"/>
              <w:ind w:right="43"/>
              <w:rPr>
                <w:color w:val="000000" w:themeColor="text1"/>
                <w:sz w:val="17"/>
                <w:szCs w:val="17"/>
              </w:rPr>
            </w:pPr>
            <w:hyperlink r:id="rId74" w:history="1">
              <w:r w:rsidR="008007D3" w:rsidRPr="008007D3">
                <w:rPr>
                  <w:rStyle w:val="Hyperlink"/>
                  <w:sz w:val="17"/>
                  <w:szCs w:val="17"/>
                </w:rPr>
                <w:t>67/291</w:t>
              </w:r>
            </w:hyperlink>
          </w:p>
        </w:tc>
        <w:tc>
          <w:tcPr>
            <w:tcW w:w="3689" w:type="pct"/>
            <w:shd w:val="clear" w:color="auto" w:fill="auto"/>
          </w:tcPr>
          <w:p w14:paraId="6E34861E" w14:textId="77777777" w:rsidR="008007D3" w:rsidRPr="008007D3" w:rsidRDefault="008007D3" w:rsidP="008007D3">
            <w:pPr>
              <w:tabs>
                <w:tab w:val="left" w:pos="288"/>
                <w:tab w:val="left" w:pos="576"/>
                <w:tab w:val="left" w:pos="864"/>
                <w:tab w:val="left" w:pos="1152"/>
              </w:tabs>
              <w:spacing w:before="40" w:after="40" w:line="200" w:lineRule="exact"/>
              <w:ind w:left="86" w:right="43"/>
              <w:rPr>
                <w:color w:val="000000" w:themeColor="text1"/>
                <w:sz w:val="17"/>
                <w:szCs w:val="17"/>
              </w:rPr>
            </w:pPr>
            <w:r w:rsidRPr="008007D3">
              <w:rPr>
                <w:color w:val="000000" w:themeColor="text1"/>
                <w:sz w:val="17"/>
                <w:szCs w:val="17"/>
              </w:rPr>
              <w:t>Sanitation for All</w:t>
            </w:r>
          </w:p>
        </w:tc>
      </w:tr>
      <w:tr w:rsidR="008007D3" w:rsidRPr="008007D3" w14:paraId="34C88635" w14:textId="77777777" w:rsidTr="00674BD1">
        <w:tc>
          <w:tcPr>
            <w:tcW w:w="1311" w:type="pct"/>
            <w:shd w:val="clear" w:color="auto" w:fill="auto"/>
          </w:tcPr>
          <w:p w14:paraId="4EBF2F3B" w14:textId="25A6DEB9" w:rsidR="008007D3" w:rsidRPr="008007D3" w:rsidRDefault="0078207D" w:rsidP="008007D3">
            <w:pPr>
              <w:keepNext/>
              <w:keepLines/>
              <w:tabs>
                <w:tab w:val="left" w:pos="288"/>
                <w:tab w:val="left" w:pos="576"/>
                <w:tab w:val="left" w:pos="864"/>
                <w:tab w:val="left" w:pos="1152"/>
              </w:tabs>
              <w:spacing w:before="40" w:after="40" w:line="200" w:lineRule="exact"/>
              <w:ind w:right="43"/>
              <w:rPr>
                <w:color w:val="000000" w:themeColor="text1"/>
                <w:sz w:val="17"/>
                <w:szCs w:val="17"/>
              </w:rPr>
            </w:pPr>
            <w:hyperlink r:id="rId75" w:history="1">
              <w:r w:rsidR="008007D3" w:rsidRPr="008007D3">
                <w:rPr>
                  <w:rStyle w:val="Hyperlink"/>
                  <w:sz w:val="17"/>
                  <w:szCs w:val="17"/>
                </w:rPr>
                <w:t>69/280</w:t>
              </w:r>
            </w:hyperlink>
          </w:p>
        </w:tc>
        <w:tc>
          <w:tcPr>
            <w:tcW w:w="3689" w:type="pct"/>
            <w:shd w:val="clear" w:color="auto" w:fill="auto"/>
          </w:tcPr>
          <w:p w14:paraId="1783C27A" w14:textId="77777777" w:rsidR="008007D3" w:rsidRPr="008007D3" w:rsidRDefault="008007D3" w:rsidP="008007D3">
            <w:pPr>
              <w:tabs>
                <w:tab w:val="left" w:pos="288"/>
                <w:tab w:val="left" w:pos="576"/>
                <w:tab w:val="left" w:pos="864"/>
                <w:tab w:val="left" w:pos="1152"/>
              </w:tabs>
              <w:spacing w:before="40" w:after="40" w:line="200" w:lineRule="exact"/>
              <w:ind w:left="86" w:right="43"/>
              <w:rPr>
                <w:color w:val="000000" w:themeColor="text1"/>
                <w:sz w:val="17"/>
                <w:szCs w:val="17"/>
              </w:rPr>
            </w:pPr>
            <w:r w:rsidRPr="008007D3">
              <w:rPr>
                <w:color w:val="000000" w:themeColor="text1"/>
                <w:sz w:val="17"/>
                <w:szCs w:val="17"/>
              </w:rPr>
              <w:t>Strengthening emergency relief, rehabilitation and reconstruction in response to the devastating effects of the earthquake in Nepal</w:t>
            </w:r>
          </w:p>
        </w:tc>
      </w:tr>
      <w:tr w:rsidR="008007D3" w:rsidRPr="008007D3" w14:paraId="738B84FD" w14:textId="77777777" w:rsidTr="00674BD1">
        <w:tc>
          <w:tcPr>
            <w:tcW w:w="1311" w:type="pct"/>
            <w:shd w:val="clear" w:color="auto" w:fill="auto"/>
          </w:tcPr>
          <w:p w14:paraId="0BD16876" w14:textId="0DBB1BD4" w:rsidR="008007D3" w:rsidRPr="008007D3" w:rsidRDefault="0078207D" w:rsidP="008007D3">
            <w:pPr>
              <w:keepNext/>
              <w:keepLines/>
              <w:tabs>
                <w:tab w:val="left" w:pos="288"/>
                <w:tab w:val="left" w:pos="576"/>
                <w:tab w:val="left" w:pos="864"/>
                <w:tab w:val="left" w:pos="1152"/>
              </w:tabs>
              <w:spacing w:before="40" w:after="40" w:line="200" w:lineRule="exact"/>
              <w:ind w:right="43"/>
              <w:rPr>
                <w:color w:val="000000" w:themeColor="text1"/>
                <w:sz w:val="17"/>
                <w:szCs w:val="17"/>
              </w:rPr>
            </w:pPr>
            <w:hyperlink r:id="rId76" w:history="1">
              <w:r w:rsidR="008007D3" w:rsidRPr="008007D3">
                <w:rPr>
                  <w:rStyle w:val="Hyperlink"/>
                  <w:sz w:val="17"/>
                  <w:szCs w:val="17"/>
                </w:rPr>
                <w:t>69/283</w:t>
              </w:r>
            </w:hyperlink>
          </w:p>
        </w:tc>
        <w:tc>
          <w:tcPr>
            <w:tcW w:w="3689" w:type="pct"/>
            <w:shd w:val="clear" w:color="auto" w:fill="auto"/>
          </w:tcPr>
          <w:p w14:paraId="7BA13C19" w14:textId="77777777" w:rsidR="008007D3" w:rsidRPr="008007D3" w:rsidRDefault="008007D3" w:rsidP="008007D3">
            <w:pPr>
              <w:tabs>
                <w:tab w:val="left" w:pos="288"/>
                <w:tab w:val="left" w:pos="576"/>
                <w:tab w:val="left" w:pos="864"/>
                <w:tab w:val="left" w:pos="1152"/>
              </w:tabs>
              <w:spacing w:before="40" w:after="40" w:line="200" w:lineRule="exact"/>
              <w:ind w:left="86" w:right="43"/>
              <w:rPr>
                <w:color w:val="000000" w:themeColor="text1"/>
                <w:sz w:val="17"/>
                <w:szCs w:val="17"/>
              </w:rPr>
            </w:pPr>
            <w:r w:rsidRPr="008007D3">
              <w:rPr>
                <w:color w:val="000000" w:themeColor="text1"/>
                <w:sz w:val="17"/>
                <w:szCs w:val="17"/>
              </w:rPr>
              <w:t>Sendai Framework for Disaster Risk Reduction 2015–2030</w:t>
            </w:r>
          </w:p>
        </w:tc>
      </w:tr>
      <w:tr w:rsidR="008007D3" w:rsidRPr="008007D3" w14:paraId="2F21F4C2" w14:textId="77777777" w:rsidTr="00674BD1">
        <w:tc>
          <w:tcPr>
            <w:tcW w:w="1311" w:type="pct"/>
            <w:shd w:val="clear" w:color="auto" w:fill="auto"/>
          </w:tcPr>
          <w:p w14:paraId="4A79CC21" w14:textId="23A0E1F0" w:rsidR="008007D3" w:rsidRPr="008007D3" w:rsidRDefault="0078207D" w:rsidP="008007D3">
            <w:pPr>
              <w:tabs>
                <w:tab w:val="left" w:pos="288"/>
                <w:tab w:val="left" w:pos="576"/>
                <w:tab w:val="left" w:pos="864"/>
                <w:tab w:val="left" w:pos="1152"/>
              </w:tabs>
              <w:spacing w:before="40" w:after="40" w:line="200" w:lineRule="exact"/>
              <w:ind w:right="43"/>
              <w:rPr>
                <w:color w:val="000000" w:themeColor="text1"/>
                <w:sz w:val="17"/>
                <w:szCs w:val="17"/>
              </w:rPr>
            </w:pPr>
            <w:hyperlink r:id="rId77" w:history="1">
              <w:r w:rsidR="008007D3" w:rsidRPr="008007D3">
                <w:rPr>
                  <w:rStyle w:val="Hyperlink"/>
                  <w:sz w:val="17"/>
                  <w:szCs w:val="17"/>
                </w:rPr>
                <w:t>73/139</w:t>
              </w:r>
            </w:hyperlink>
            <w:r w:rsidR="008007D3" w:rsidRPr="008007D3">
              <w:rPr>
                <w:color w:val="000000" w:themeColor="text1"/>
                <w:sz w:val="17"/>
                <w:szCs w:val="17"/>
              </w:rPr>
              <w:t xml:space="preserve">; </w:t>
            </w:r>
            <w:hyperlink r:id="rId78" w:history="1">
              <w:r w:rsidR="008007D3" w:rsidRPr="008007D3">
                <w:rPr>
                  <w:rStyle w:val="Hyperlink"/>
                  <w:sz w:val="17"/>
                  <w:szCs w:val="17"/>
                </w:rPr>
                <w:t>74/118</w:t>
              </w:r>
            </w:hyperlink>
          </w:p>
        </w:tc>
        <w:tc>
          <w:tcPr>
            <w:tcW w:w="3689" w:type="pct"/>
            <w:shd w:val="clear" w:color="auto" w:fill="auto"/>
          </w:tcPr>
          <w:p w14:paraId="3D98EF52" w14:textId="77777777" w:rsidR="008007D3" w:rsidRPr="008007D3" w:rsidRDefault="008007D3" w:rsidP="008007D3">
            <w:pPr>
              <w:tabs>
                <w:tab w:val="left" w:pos="288"/>
                <w:tab w:val="left" w:pos="576"/>
                <w:tab w:val="left" w:pos="864"/>
                <w:tab w:val="left" w:pos="1152"/>
              </w:tabs>
              <w:spacing w:before="40" w:after="40" w:line="200" w:lineRule="exact"/>
              <w:ind w:left="86" w:right="43"/>
              <w:rPr>
                <w:color w:val="000000" w:themeColor="text1"/>
                <w:sz w:val="17"/>
                <w:szCs w:val="17"/>
              </w:rPr>
            </w:pPr>
            <w:r w:rsidRPr="008007D3">
              <w:rPr>
                <w:color w:val="000000" w:themeColor="text1"/>
                <w:sz w:val="17"/>
                <w:szCs w:val="17"/>
              </w:rPr>
              <w:t>Strengthening of the coordination of emergency humanitarian assistance of the United Nations</w:t>
            </w:r>
          </w:p>
        </w:tc>
      </w:tr>
      <w:tr w:rsidR="008007D3" w:rsidRPr="008007D3" w14:paraId="4AC3FFAD" w14:textId="77777777" w:rsidTr="00674BD1">
        <w:tc>
          <w:tcPr>
            <w:tcW w:w="1311" w:type="pct"/>
            <w:shd w:val="clear" w:color="auto" w:fill="auto"/>
          </w:tcPr>
          <w:p w14:paraId="44B77365" w14:textId="6E0889C1" w:rsidR="008007D3" w:rsidRPr="008007D3" w:rsidRDefault="0078207D" w:rsidP="008007D3">
            <w:pPr>
              <w:tabs>
                <w:tab w:val="left" w:pos="288"/>
                <w:tab w:val="left" w:pos="576"/>
                <w:tab w:val="left" w:pos="864"/>
                <w:tab w:val="left" w:pos="1152"/>
              </w:tabs>
              <w:spacing w:before="40" w:after="40" w:line="200" w:lineRule="exact"/>
              <w:ind w:right="43"/>
              <w:rPr>
                <w:color w:val="000000" w:themeColor="text1"/>
                <w:sz w:val="17"/>
                <w:szCs w:val="17"/>
              </w:rPr>
            </w:pPr>
            <w:hyperlink r:id="rId79" w:history="1">
              <w:r w:rsidR="008007D3" w:rsidRPr="008007D3">
                <w:rPr>
                  <w:rStyle w:val="Hyperlink"/>
                  <w:sz w:val="17"/>
                  <w:szCs w:val="17"/>
                </w:rPr>
                <w:t>73/150</w:t>
              </w:r>
            </w:hyperlink>
          </w:p>
        </w:tc>
        <w:tc>
          <w:tcPr>
            <w:tcW w:w="3689" w:type="pct"/>
            <w:shd w:val="clear" w:color="auto" w:fill="auto"/>
          </w:tcPr>
          <w:p w14:paraId="4CD2B704" w14:textId="77777777" w:rsidR="008007D3" w:rsidRPr="008007D3" w:rsidRDefault="008007D3" w:rsidP="008007D3">
            <w:pPr>
              <w:tabs>
                <w:tab w:val="left" w:pos="288"/>
                <w:tab w:val="left" w:pos="576"/>
                <w:tab w:val="left" w:pos="864"/>
                <w:tab w:val="left" w:pos="1152"/>
              </w:tabs>
              <w:spacing w:before="40" w:after="40" w:line="200" w:lineRule="exact"/>
              <w:ind w:left="86" w:right="43"/>
              <w:rPr>
                <w:color w:val="000000" w:themeColor="text1"/>
                <w:sz w:val="17"/>
                <w:szCs w:val="17"/>
              </w:rPr>
            </w:pPr>
            <w:r w:rsidRPr="008007D3">
              <w:rPr>
                <w:color w:val="000000" w:themeColor="text1"/>
                <w:sz w:val="17"/>
                <w:szCs w:val="17"/>
              </w:rPr>
              <w:t>Assistance to refugees, returnees and displaced persons in Africa</w:t>
            </w:r>
          </w:p>
        </w:tc>
      </w:tr>
      <w:tr w:rsidR="008007D3" w:rsidRPr="008007D3" w14:paraId="47252A1B" w14:textId="77777777" w:rsidTr="00674BD1">
        <w:tc>
          <w:tcPr>
            <w:tcW w:w="1311" w:type="pct"/>
            <w:shd w:val="clear" w:color="auto" w:fill="auto"/>
          </w:tcPr>
          <w:p w14:paraId="5C3466EA" w14:textId="58999B96" w:rsidR="008007D3" w:rsidRPr="008007D3" w:rsidRDefault="0078207D" w:rsidP="008007D3">
            <w:pPr>
              <w:tabs>
                <w:tab w:val="left" w:pos="288"/>
                <w:tab w:val="left" w:pos="576"/>
                <w:tab w:val="left" w:pos="864"/>
                <w:tab w:val="left" w:pos="1152"/>
              </w:tabs>
              <w:spacing w:before="40" w:after="40" w:line="200" w:lineRule="exact"/>
              <w:ind w:right="43"/>
              <w:rPr>
                <w:color w:val="000000" w:themeColor="text1"/>
                <w:sz w:val="17"/>
                <w:szCs w:val="17"/>
              </w:rPr>
            </w:pPr>
            <w:hyperlink r:id="rId80" w:history="1">
              <w:r w:rsidR="008007D3" w:rsidRPr="008007D3">
                <w:rPr>
                  <w:rStyle w:val="Hyperlink"/>
                  <w:sz w:val="17"/>
                  <w:szCs w:val="17"/>
                </w:rPr>
                <w:t>73/230</w:t>
              </w:r>
            </w:hyperlink>
          </w:p>
        </w:tc>
        <w:tc>
          <w:tcPr>
            <w:tcW w:w="3689" w:type="pct"/>
            <w:shd w:val="clear" w:color="auto" w:fill="auto"/>
          </w:tcPr>
          <w:p w14:paraId="615CFB65" w14:textId="77777777" w:rsidR="008007D3" w:rsidRPr="008007D3" w:rsidRDefault="008007D3" w:rsidP="008007D3">
            <w:pPr>
              <w:tabs>
                <w:tab w:val="left" w:pos="288"/>
                <w:tab w:val="left" w:pos="576"/>
                <w:tab w:val="left" w:pos="864"/>
                <w:tab w:val="left" w:pos="1152"/>
              </w:tabs>
              <w:spacing w:before="40" w:after="40" w:line="200" w:lineRule="exact"/>
              <w:ind w:left="86" w:right="43"/>
              <w:rPr>
                <w:color w:val="000000" w:themeColor="text1"/>
                <w:sz w:val="17"/>
                <w:szCs w:val="17"/>
              </w:rPr>
            </w:pPr>
            <w:r w:rsidRPr="008007D3">
              <w:rPr>
                <w:color w:val="000000" w:themeColor="text1"/>
                <w:sz w:val="17"/>
                <w:szCs w:val="17"/>
              </w:rPr>
              <w:t>Effective global response to address the impacts of the El Niño phenomenon</w:t>
            </w:r>
          </w:p>
        </w:tc>
      </w:tr>
      <w:tr w:rsidR="008007D3" w:rsidRPr="008007D3" w14:paraId="4657618E" w14:textId="77777777" w:rsidTr="00674BD1">
        <w:tc>
          <w:tcPr>
            <w:tcW w:w="1311" w:type="pct"/>
            <w:shd w:val="clear" w:color="auto" w:fill="auto"/>
          </w:tcPr>
          <w:p w14:paraId="77CD3488" w14:textId="17F2A7AE" w:rsidR="008007D3" w:rsidRPr="008007D3" w:rsidRDefault="0078207D" w:rsidP="008007D3">
            <w:pPr>
              <w:tabs>
                <w:tab w:val="left" w:pos="288"/>
                <w:tab w:val="left" w:pos="576"/>
                <w:tab w:val="left" w:pos="864"/>
                <w:tab w:val="left" w:pos="1152"/>
              </w:tabs>
              <w:spacing w:before="40" w:after="40" w:line="200" w:lineRule="exact"/>
              <w:ind w:right="43"/>
              <w:rPr>
                <w:color w:val="000000" w:themeColor="text1"/>
                <w:sz w:val="17"/>
                <w:szCs w:val="17"/>
              </w:rPr>
            </w:pPr>
            <w:hyperlink r:id="rId81" w:history="1">
              <w:r w:rsidR="008007D3" w:rsidRPr="008007D3">
                <w:rPr>
                  <w:rStyle w:val="Hyperlink"/>
                  <w:sz w:val="17"/>
                  <w:szCs w:val="17"/>
                </w:rPr>
                <w:t>74/115</w:t>
              </w:r>
            </w:hyperlink>
          </w:p>
        </w:tc>
        <w:tc>
          <w:tcPr>
            <w:tcW w:w="3689" w:type="pct"/>
            <w:shd w:val="clear" w:color="auto" w:fill="auto"/>
          </w:tcPr>
          <w:p w14:paraId="166546BC" w14:textId="77777777" w:rsidR="008007D3" w:rsidRPr="008007D3" w:rsidRDefault="008007D3" w:rsidP="008007D3">
            <w:pPr>
              <w:tabs>
                <w:tab w:val="left" w:pos="288"/>
                <w:tab w:val="left" w:pos="576"/>
                <w:tab w:val="left" w:pos="864"/>
                <w:tab w:val="left" w:pos="1152"/>
              </w:tabs>
              <w:spacing w:before="40" w:after="40" w:line="200" w:lineRule="exact"/>
              <w:ind w:left="86" w:right="43"/>
              <w:rPr>
                <w:color w:val="000000" w:themeColor="text1"/>
                <w:sz w:val="17"/>
                <w:szCs w:val="17"/>
              </w:rPr>
            </w:pPr>
            <w:r w:rsidRPr="008007D3">
              <w:rPr>
                <w:color w:val="000000" w:themeColor="text1"/>
                <w:sz w:val="17"/>
                <w:szCs w:val="17"/>
              </w:rPr>
              <w:t>International cooperation on humanitarian assistance in the field of natural disasters, from relief to development</w:t>
            </w:r>
          </w:p>
        </w:tc>
      </w:tr>
      <w:tr w:rsidR="008007D3" w:rsidRPr="008007D3" w14:paraId="33892600" w14:textId="77777777" w:rsidTr="00674BD1">
        <w:tc>
          <w:tcPr>
            <w:tcW w:w="1311" w:type="pct"/>
            <w:shd w:val="clear" w:color="auto" w:fill="auto"/>
          </w:tcPr>
          <w:p w14:paraId="21465476" w14:textId="53177E0D" w:rsidR="008007D3" w:rsidRPr="008007D3" w:rsidRDefault="0078207D" w:rsidP="008007D3">
            <w:pPr>
              <w:tabs>
                <w:tab w:val="left" w:pos="288"/>
                <w:tab w:val="left" w:pos="576"/>
                <w:tab w:val="left" w:pos="864"/>
                <w:tab w:val="left" w:pos="1152"/>
              </w:tabs>
              <w:spacing w:before="40" w:after="40" w:line="200" w:lineRule="exact"/>
              <w:ind w:right="43"/>
              <w:rPr>
                <w:color w:val="000000" w:themeColor="text1"/>
                <w:sz w:val="17"/>
                <w:szCs w:val="17"/>
              </w:rPr>
            </w:pPr>
            <w:hyperlink r:id="rId82" w:history="1">
              <w:r w:rsidR="008007D3" w:rsidRPr="008007D3">
                <w:rPr>
                  <w:rStyle w:val="Hyperlink"/>
                  <w:sz w:val="17"/>
                  <w:szCs w:val="17"/>
                </w:rPr>
                <w:t>74/160</w:t>
              </w:r>
            </w:hyperlink>
          </w:p>
        </w:tc>
        <w:tc>
          <w:tcPr>
            <w:tcW w:w="3689" w:type="pct"/>
            <w:shd w:val="clear" w:color="auto" w:fill="auto"/>
          </w:tcPr>
          <w:p w14:paraId="2222FE79" w14:textId="77777777" w:rsidR="008007D3" w:rsidRPr="008007D3" w:rsidRDefault="008007D3" w:rsidP="008007D3">
            <w:pPr>
              <w:tabs>
                <w:tab w:val="left" w:pos="288"/>
                <w:tab w:val="left" w:pos="576"/>
                <w:tab w:val="left" w:pos="864"/>
                <w:tab w:val="left" w:pos="1152"/>
              </w:tabs>
              <w:spacing w:before="40" w:after="40" w:line="200" w:lineRule="exact"/>
              <w:ind w:left="86" w:right="43"/>
              <w:rPr>
                <w:color w:val="000000" w:themeColor="text1"/>
                <w:sz w:val="17"/>
                <w:szCs w:val="17"/>
              </w:rPr>
            </w:pPr>
            <w:r w:rsidRPr="008007D3">
              <w:rPr>
                <w:color w:val="000000" w:themeColor="text1"/>
                <w:sz w:val="17"/>
                <w:szCs w:val="17"/>
              </w:rPr>
              <w:t>Protection of and assistance to internally displaced persons</w:t>
            </w:r>
          </w:p>
        </w:tc>
      </w:tr>
    </w:tbl>
    <w:p w14:paraId="1143FC5A" w14:textId="77777777" w:rsidR="008007D3" w:rsidRPr="008007D3" w:rsidRDefault="008007D3" w:rsidP="008007D3">
      <w:pPr>
        <w:spacing w:line="240" w:lineRule="auto"/>
        <w:rPr>
          <w:sz w:val="2"/>
        </w:rPr>
        <w:sectPr w:rsidR="008007D3" w:rsidRPr="008007D3" w:rsidSect="008007D3">
          <w:endnotePr>
            <w:numFmt w:val="decimal"/>
          </w:endnotePr>
          <w:type w:val="continuous"/>
          <w:pgSz w:w="12240" w:h="15840"/>
          <w:pgMar w:top="1440" w:right="1195" w:bottom="1152" w:left="1195" w:header="432" w:footer="504" w:gutter="0"/>
          <w:cols w:num="2" w:space="240"/>
          <w:noEndnote/>
          <w:docGrid w:linePitch="360"/>
        </w:sectPr>
      </w:pPr>
    </w:p>
    <w:p w14:paraId="3BF50178" w14:textId="7834B892" w:rsidR="0016696A" w:rsidRPr="008007D3" w:rsidRDefault="0016696A" w:rsidP="008007D3">
      <w:pPr>
        <w:pStyle w:val="SingleTxt"/>
        <w:spacing w:after="0" w:line="120" w:lineRule="exact"/>
        <w:rPr>
          <w:sz w:val="10"/>
        </w:rPr>
      </w:pPr>
    </w:p>
    <w:p w14:paraId="6C31FE77" w14:textId="77777777" w:rsidR="008007D3" w:rsidRPr="00E96905" w:rsidRDefault="008007D3" w:rsidP="008007D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3"/>
        <w:rPr>
          <w:i/>
          <w:color w:val="000000" w:themeColor="text1"/>
          <w:spacing w:val="3"/>
        </w:rPr>
      </w:pPr>
      <w:r w:rsidRPr="00E96905">
        <w:rPr>
          <w:i/>
          <w:color w:val="000000" w:themeColor="text1"/>
          <w:spacing w:val="3"/>
        </w:rPr>
        <w:t>Governing Council resolutions</w:t>
      </w:r>
    </w:p>
    <w:p w14:paraId="1999BBDE" w14:textId="0E19AFBE" w:rsidR="008007D3" w:rsidRPr="008007D3" w:rsidRDefault="008007D3" w:rsidP="008007D3">
      <w:pPr>
        <w:pStyle w:val="SingleTxt"/>
        <w:spacing w:after="0" w:line="120" w:lineRule="exact"/>
        <w:rPr>
          <w:sz w:val="10"/>
        </w:rPr>
      </w:pPr>
    </w:p>
    <w:p w14:paraId="0A77B46A" w14:textId="2D50F650" w:rsidR="008007D3" w:rsidRPr="004048B2" w:rsidRDefault="008007D3" w:rsidP="004048B2">
      <w:pPr>
        <w:pStyle w:val="SingleTxt"/>
        <w:spacing w:after="0" w:line="240" w:lineRule="auto"/>
        <w:rPr>
          <w:sz w:val="2"/>
        </w:rPr>
      </w:pPr>
    </w:p>
    <w:p w14:paraId="233BBA34" w14:textId="77777777" w:rsidR="004048B2" w:rsidRPr="004048B2" w:rsidRDefault="004048B2" w:rsidP="004048B2">
      <w:pPr>
        <w:pStyle w:val="SingleTxt"/>
        <w:spacing w:after="0" w:line="240" w:lineRule="auto"/>
        <w:rPr>
          <w:sz w:val="2"/>
        </w:rPr>
        <w:sectPr w:rsidR="004048B2" w:rsidRPr="004048B2" w:rsidSect="008007D3">
          <w:endnotePr>
            <w:numFmt w:val="decimal"/>
          </w:endnotePr>
          <w:type w:val="continuous"/>
          <w:pgSz w:w="12240" w:h="15840"/>
          <w:pgMar w:top="1440" w:right="1195" w:bottom="1152" w:left="1195" w:header="432" w:footer="504" w:gutter="0"/>
          <w:cols w:space="720"/>
          <w:noEndnote/>
          <w:docGrid w:linePitch="360"/>
        </w:sectPr>
      </w:pPr>
    </w:p>
    <w:tbl>
      <w:tblPr>
        <w:tblW w:w="5000" w:type="pct"/>
        <w:tblCellMar>
          <w:left w:w="0" w:type="dxa"/>
          <w:right w:w="0" w:type="dxa"/>
        </w:tblCellMar>
        <w:tblLook w:val="0000" w:firstRow="0" w:lastRow="0" w:firstColumn="0" w:lastColumn="0" w:noHBand="0" w:noVBand="0"/>
      </w:tblPr>
      <w:tblGrid>
        <w:gridCol w:w="1260"/>
        <w:gridCol w:w="3545"/>
      </w:tblGrid>
      <w:tr w:rsidR="004048B2" w:rsidRPr="004048B2" w14:paraId="37C81C39" w14:textId="77777777" w:rsidTr="00674BD1">
        <w:tc>
          <w:tcPr>
            <w:tcW w:w="1311" w:type="pct"/>
            <w:shd w:val="clear" w:color="auto" w:fill="auto"/>
          </w:tcPr>
          <w:p w14:paraId="5595D375" w14:textId="77777777" w:rsidR="004048B2" w:rsidRPr="004048B2" w:rsidRDefault="004048B2" w:rsidP="004048B2">
            <w:pPr>
              <w:tabs>
                <w:tab w:val="left" w:pos="288"/>
                <w:tab w:val="left" w:pos="576"/>
                <w:tab w:val="left" w:pos="864"/>
                <w:tab w:val="left" w:pos="1152"/>
              </w:tabs>
              <w:spacing w:before="40" w:after="40" w:line="200" w:lineRule="exact"/>
              <w:ind w:right="43"/>
              <w:rPr>
                <w:color w:val="000000" w:themeColor="text1"/>
                <w:sz w:val="17"/>
                <w:szCs w:val="17"/>
              </w:rPr>
            </w:pPr>
            <w:r w:rsidRPr="004048B2">
              <w:rPr>
                <w:sz w:val="17"/>
              </w:rPr>
              <w:t>20/17</w:t>
            </w:r>
          </w:p>
        </w:tc>
        <w:tc>
          <w:tcPr>
            <w:tcW w:w="3689" w:type="pct"/>
            <w:shd w:val="clear" w:color="auto" w:fill="auto"/>
          </w:tcPr>
          <w:p w14:paraId="6FDE21EB" w14:textId="77777777" w:rsidR="004048B2" w:rsidRPr="004048B2" w:rsidRDefault="004048B2" w:rsidP="004048B2">
            <w:pPr>
              <w:tabs>
                <w:tab w:val="left" w:pos="288"/>
                <w:tab w:val="left" w:pos="576"/>
                <w:tab w:val="left" w:pos="864"/>
                <w:tab w:val="left" w:pos="1152"/>
              </w:tabs>
              <w:spacing w:before="40" w:after="40" w:line="200" w:lineRule="exact"/>
              <w:ind w:left="86" w:right="43"/>
              <w:rPr>
                <w:color w:val="000000" w:themeColor="text1"/>
                <w:sz w:val="17"/>
                <w:szCs w:val="17"/>
              </w:rPr>
            </w:pPr>
            <w:r w:rsidRPr="004048B2">
              <w:rPr>
                <w:color w:val="000000" w:themeColor="text1"/>
                <w:sz w:val="17"/>
                <w:szCs w:val="17"/>
              </w:rPr>
              <w:t>Post-conflict, natural and human-made disaster assessment and reconstruction</w:t>
            </w:r>
          </w:p>
        </w:tc>
      </w:tr>
      <w:tr w:rsidR="004048B2" w:rsidRPr="004048B2" w14:paraId="3BFD1C5B" w14:textId="77777777" w:rsidTr="00674BD1">
        <w:tc>
          <w:tcPr>
            <w:tcW w:w="1311" w:type="pct"/>
            <w:shd w:val="clear" w:color="auto" w:fill="auto"/>
          </w:tcPr>
          <w:p w14:paraId="12EF8742" w14:textId="77777777" w:rsidR="004048B2" w:rsidRPr="004048B2" w:rsidRDefault="004048B2" w:rsidP="004048B2">
            <w:pPr>
              <w:tabs>
                <w:tab w:val="left" w:pos="288"/>
                <w:tab w:val="left" w:pos="576"/>
                <w:tab w:val="left" w:pos="864"/>
                <w:tab w:val="left" w:pos="1152"/>
              </w:tabs>
              <w:spacing w:before="40" w:after="40" w:line="200" w:lineRule="exact"/>
              <w:ind w:right="43"/>
              <w:rPr>
                <w:color w:val="000000" w:themeColor="text1"/>
                <w:sz w:val="17"/>
                <w:szCs w:val="17"/>
              </w:rPr>
            </w:pPr>
            <w:r w:rsidRPr="004048B2">
              <w:rPr>
                <w:sz w:val="17"/>
              </w:rPr>
              <w:t>23/18</w:t>
            </w:r>
          </w:p>
        </w:tc>
        <w:tc>
          <w:tcPr>
            <w:tcW w:w="3689" w:type="pct"/>
            <w:shd w:val="clear" w:color="auto" w:fill="auto"/>
          </w:tcPr>
          <w:p w14:paraId="0A24AC92" w14:textId="77777777" w:rsidR="004048B2" w:rsidRPr="004048B2" w:rsidRDefault="004048B2" w:rsidP="004048B2">
            <w:pPr>
              <w:tabs>
                <w:tab w:val="left" w:pos="288"/>
                <w:tab w:val="left" w:pos="576"/>
                <w:tab w:val="left" w:pos="864"/>
                <w:tab w:val="left" w:pos="1152"/>
              </w:tabs>
              <w:spacing w:before="40" w:after="40" w:line="200" w:lineRule="exact"/>
              <w:ind w:left="86" w:right="43"/>
              <w:rPr>
                <w:color w:val="000000" w:themeColor="text1"/>
                <w:spacing w:val="2"/>
                <w:sz w:val="17"/>
                <w:szCs w:val="17"/>
              </w:rPr>
            </w:pPr>
            <w:r w:rsidRPr="004048B2">
              <w:rPr>
                <w:color w:val="000000" w:themeColor="text1"/>
                <w:spacing w:val="2"/>
                <w:sz w:val="17"/>
                <w:szCs w:val="17"/>
              </w:rPr>
              <w:t>Natural disaster risk reduction, preparedness, prevention and mitigation as a contribution to sustainable urban development</w:t>
            </w:r>
          </w:p>
        </w:tc>
      </w:tr>
      <w:tr w:rsidR="004048B2" w:rsidRPr="004048B2" w14:paraId="0CEB2E4B" w14:textId="77777777" w:rsidTr="00674BD1">
        <w:tc>
          <w:tcPr>
            <w:tcW w:w="1311" w:type="pct"/>
            <w:shd w:val="clear" w:color="auto" w:fill="auto"/>
          </w:tcPr>
          <w:p w14:paraId="78359530" w14:textId="77777777" w:rsidR="004048B2" w:rsidRPr="004048B2" w:rsidRDefault="004048B2" w:rsidP="004048B2">
            <w:pPr>
              <w:tabs>
                <w:tab w:val="left" w:pos="288"/>
                <w:tab w:val="left" w:pos="576"/>
                <w:tab w:val="left" w:pos="864"/>
                <w:tab w:val="left" w:pos="1152"/>
              </w:tabs>
              <w:spacing w:before="40" w:after="40" w:line="200" w:lineRule="exact"/>
              <w:ind w:right="43"/>
              <w:rPr>
                <w:color w:val="000000" w:themeColor="text1"/>
                <w:sz w:val="17"/>
                <w:szCs w:val="17"/>
              </w:rPr>
            </w:pPr>
            <w:r w:rsidRPr="004048B2">
              <w:rPr>
                <w:sz w:val="17"/>
              </w:rPr>
              <w:t>26/2</w:t>
            </w:r>
          </w:p>
        </w:tc>
        <w:tc>
          <w:tcPr>
            <w:tcW w:w="3689" w:type="pct"/>
            <w:shd w:val="clear" w:color="auto" w:fill="auto"/>
          </w:tcPr>
          <w:p w14:paraId="3AA9533D" w14:textId="77777777" w:rsidR="004048B2" w:rsidRPr="004048B2" w:rsidRDefault="004048B2" w:rsidP="004048B2">
            <w:pPr>
              <w:tabs>
                <w:tab w:val="left" w:pos="288"/>
                <w:tab w:val="left" w:pos="576"/>
                <w:tab w:val="left" w:pos="864"/>
                <w:tab w:val="left" w:pos="1152"/>
              </w:tabs>
              <w:spacing w:before="40" w:after="40" w:line="200" w:lineRule="exact"/>
              <w:ind w:left="86" w:right="43"/>
              <w:rPr>
                <w:color w:val="000000" w:themeColor="text1"/>
                <w:sz w:val="17"/>
                <w:szCs w:val="17"/>
              </w:rPr>
            </w:pPr>
            <w:r w:rsidRPr="004048B2">
              <w:rPr>
                <w:color w:val="000000" w:themeColor="text1"/>
                <w:sz w:val="17"/>
                <w:szCs w:val="17"/>
              </w:rPr>
              <w:t>Enhancing the role of UN-Habitat in urban crisis response</w:t>
            </w:r>
          </w:p>
        </w:tc>
      </w:tr>
    </w:tbl>
    <w:p w14:paraId="1E18D575" w14:textId="77777777" w:rsidR="004048B2" w:rsidRPr="004048B2" w:rsidRDefault="004048B2" w:rsidP="004048B2">
      <w:pPr>
        <w:spacing w:line="240" w:lineRule="auto"/>
        <w:rPr>
          <w:sz w:val="2"/>
        </w:rPr>
        <w:sectPr w:rsidR="004048B2" w:rsidRPr="004048B2" w:rsidSect="004048B2">
          <w:endnotePr>
            <w:numFmt w:val="decimal"/>
          </w:endnotePr>
          <w:type w:val="continuous"/>
          <w:pgSz w:w="12240" w:h="15840"/>
          <w:pgMar w:top="1440" w:right="1195" w:bottom="1152" w:left="1195" w:header="432" w:footer="504" w:gutter="0"/>
          <w:cols w:num="2" w:space="240"/>
          <w:noEndnote/>
          <w:docGrid w:linePitch="360"/>
        </w:sectPr>
      </w:pPr>
    </w:p>
    <w:p w14:paraId="1606308F" w14:textId="226807E5" w:rsidR="008007D3" w:rsidRPr="004048B2" w:rsidRDefault="008007D3" w:rsidP="004048B2">
      <w:pPr>
        <w:pStyle w:val="SingleTxt"/>
        <w:spacing w:after="0" w:line="120" w:lineRule="exact"/>
        <w:rPr>
          <w:sz w:val="10"/>
        </w:rPr>
      </w:pPr>
    </w:p>
    <w:p w14:paraId="0C03AA92" w14:textId="03B3565E" w:rsidR="004048B2" w:rsidRPr="004048B2" w:rsidRDefault="004048B2" w:rsidP="004048B2">
      <w:pPr>
        <w:pStyle w:val="SingleTxt"/>
        <w:spacing w:after="0" w:line="120" w:lineRule="exact"/>
        <w:rPr>
          <w:sz w:val="10"/>
        </w:rPr>
      </w:pPr>
    </w:p>
    <w:p w14:paraId="120517E3" w14:textId="68721ABB" w:rsidR="004048B2" w:rsidRPr="004048B2" w:rsidRDefault="004048B2" w:rsidP="004048B2">
      <w:pPr>
        <w:pStyle w:val="SingleTxt"/>
        <w:spacing w:after="0" w:line="120" w:lineRule="exact"/>
        <w:rPr>
          <w:sz w:val="10"/>
        </w:rPr>
      </w:pPr>
    </w:p>
    <w:p w14:paraId="321CA7CE" w14:textId="77777777" w:rsidR="003F2E7C" w:rsidRPr="00E96905" w:rsidRDefault="003F2E7C" w:rsidP="003F2E7C">
      <w:pPr>
        <w:pStyle w:val="H1"/>
        <w:ind w:right="1260"/>
      </w:pPr>
      <w:r w:rsidRPr="00E96905">
        <w:tab/>
      </w:r>
      <w:r w:rsidRPr="00E96905">
        <w:tab/>
        <w:t>Deliverables</w:t>
      </w:r>
    </w:p>
    <w:p w14:paraId="105E5F7B" w14:textId="77777777" w:rsidR="003F2E7C" w:rsidRPr="00E96905" w:rsidRDefault="003F2E7C" w:rsidP="003F2E7C">
      <w:pPr>
        <w:pStyle w:val="SingleTxt"/>
        <w:spacing w:after="0" w:line="120" w:lineRule="exact"/>
        <w:rPr>
          <w:sz w:val="10"/>
        </w:rPr>
      </w:pPr>
    </w:p>
    <w:p w14:paraId="0F81BCC4" w14:textId="77777777" w:rsidR="003F2E7C" w:rsidRPr="00E96905" w:rsidRDefault="003F2E7C" w:rsidP="003F2E7C">
      <w:pPr>
        <w:pStyle w:val="SingleTxt"/>
        <w:spacing w:after="0" w:line="120" w:lineRule="exact"/>
        <w:rPr>
          <w:sz w:val="10"/>
        </w:rPr>
      </w:pPr>
    </w:p>
    <w:p w14:paraId="7F335ED3"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15.128</w:t>
      </w:r>
      <w:r w:rsidRPr="00E96905">
        <w:tab/>
        <w:t>Table 15.10 lists all deliverables, by category and subcategory, for the period 2020–2022 that are expected to contribute to the attainment of the objective stated above.</w:t>
      </w:r>
    </w:p>
    <w:p w14:paraId="70C9CA9F"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86F2D47" w14:textId="77777777" w:rsidR="003F2E7C" w:rsidRPr="00E96905" w:rsidRDefault="003F2E7C" w:rsidP="002D4D92">
      <w:pPr>
        <w:pStyle w:val="H23"/>
        <w:keepNext/>
        <w:keepLines/>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rPr>
      </w:pPr>
      <w:r w:rsidRPr="00E96905">
        <w:rPr>
          <w:b w:val="0"/>
          <w:bCs/>
        </w:rPr>
        <w:lastRenderedPageBreak/>
        <w:t>Table 15.10</w:t>
      </w:r>
    </w:p>
    <w:p w14:paraId="2C28A57B" w14:textId="77777777" w:rsidR="003F2E7C" w:rsidRPr="00E96905" w:rsidRDefault="003F2E7C" w:rsidP="002D4D92">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 w:hanging="1267"/>
      </w:pPr>
      <w:r w:rsidRPr="00E96905">
        <w:tab/>
        <w:t xml:space="preserve">Subprogramme 4: deliverables for the period 2020–2022, by category and subcategory </w:t>
      </w:r>
    </w:p>
    <w:p w14:paraId="2E612B5D" w14:textId="77777777" w:rsidR="003F2E7C" w:rsidRPr="00E96905" w:rsidRDefault="003F2E7C" w:rsidP="002D4D92">
      <w:pPr>
        <w:pStyle w:val="SingleTxt"/>
        <w:keepNext/>
        <w:keepLines/>
        <w:spacing w:after="0" w:line="120" w:lineRule="exact"/>
        <w:rPr>
          <w:sz w:val="10"/>
          <w:lang w:val="en-US"/>
        </w:rPr>
      </w:pPr>
    </w:p>
    <w:p w14:paraId="60C953CB" w14:textId="77777777" w:rsidR="003F2E7C" w:rsidRPr="00E96905" w:rsidRDefault="003F2E7C" w:rsidP="002D4D92">
      <w:pPr>
        <w:pStyle w:val="SingleTxt"/>
        <w:keepNext/>
        <w:keepLines/>
        <w:spacing w:after="0" w:line="120" w:lineRule="exact"/>
        <w:rPr>
          <w:sz w:val="10"/>
          <w:lang w:val="en-US"/>
        </w:rPr>
      </w:pPr>
    </w:p>
    <w:tbl>
      <w:tblPr>
        <w:tblStyle w:val="TableGrid"/>
        <w:tblW w:w="9870" w:type="dxa"/>
        <w:tblInd w:w="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192"/>
        <w:gridCol w:w="909"/>
        <w:gridCol w:w="909"/>
        <w:gridCol w:w="900"/>
        <w:gridCol w:w="960"/>
      </w:tblGrid>
      <w:tr w:rsidR="003F2E7C" w:rsidRPr="00E96905" w14:paraId="53A468B6" w14:textId="77777777" w:rsidTr="00206464">
        <w:trPr>
          <w:tblHeader/>
        </w:trPr>
        <w:tc>
          <w:tcPr>
            <w:tcW w:w="6192" w:type="dxa"/>
            <w:tcBorders>
              <w:top w:val="single" w:sz="4" w:space="0" w:color="auto"/>
              <w:bottom w:val="single" w:sz="12" w:space="0" w:color="auto"/>
            </w:tcBorders>
            <w:shd w:val="clear" w:color="auto" w:fill="auto"/>
            <w:vAlign w:val="bottom"/>
          </w:tcPr>
          <w:p w14:paraId="26A077C0"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96905">
              <w:rPr>
                <w:i/>
                <w:sz w:val="14"/>
              </w:rPr>
              <w:t>Category and subcategory</w:t>
            </w:r>
          </w:p>
        </w:tc>
        <w:tc>
          <w:tcPr>
            <w:tcW w:w="909" w:type="dxa"/>
            <w:tcBorders>
              <w:top w:val="single" w:sz="4" w:space="0" w:color="auto"/>
              <w:bottom w:val="single" w:sz="12" w:space="0" w:color="auto"/>
            </w:tcBorders>
            <w:shd w:val="clear" w:color="auto" w:fill="auto"/>
            <w:vAlign w:val="bottom"/>
          </w:tcPr>
          <w:p w14:paraId="751ED4E4"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2020 planned</w:t>
            </w:r>
          </w:p>
        </w:tc>
        <w:tc>
          <w:tcPr>
            <w:tcW w:w="909" w:type="dxa"/>
            <w:tcBorders>
              <w:top w:val="single" w:sz="4" w:space="0" w:color="auto"/>
              <w:bottom w:val="single" w:sz="12" w:space="0" w:color="auto"/>
            </w:tcBorders>
            <w:shd w:val="clear" w:color="auto" w:fill="auto"/>
            <w:vAlign w:val="bottom"/>
          </w:tcPr>
          <w:p w14:paraId="3ADA2E5B"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2020 actual</w:t>
            </w:r>
          </w:p>
        </w:tc>
        <w:tc>
          <w:tcPr>
            <w:tcW w:w="900" w:type="dxa"/>
            <w:tcBorders>
              <w:top w:val="single" w:sz="4" w:space="0" w:color="auto"/>
              <w:bottom w:val="single" w:sz="12" w:space="0" w:color="auto"/>
            </w:tcBorders>
            <w:shd w:val="clear" w:color="auto" w:fill="auto"/>
            <w:vAlign w:val="bottom"/>
          </w:tcPr>
          <w:p w14:paraId="5F3138E4"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2021 planned</w:t>
            </w:r>
          </w:p>
        </w:tc>
        <w:tc>
          <w:tcPr>
            <w:tcW w:w="960" w:type="dxa"/>
            <w:tcBorders>
              <w:top w:val="single" w:sz="4" w:space="0" w:color="auto"/>
              <w:bottom w:val="single" w:sz="12" w:space="0" w:color="auto"/>
            </w:tcBorders>
            <w:shd w:val="clear" w:color="auto" w:fill="auto"/>
            <w:vAlign w:val="bottom"/>
          </w:tcPr>
          <w:p w14:paraId="7E6068E1"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2022 planned</w:t>
            </w:r>
            <w:r w:rsidRPr="00A86964">
              <w:rPr>
                <w:i/>
                <w:sz w:val="14"/>
                <w:vertAlign w:val="superscript"/>
              </w:rPr>
              <w:t>a</w:t>
            </w:r>
          </w:p>
        </w:tc>
      </w:tr>
      <w:tr w:rsidR="003F2E7C" w:rsidRPr="00E96905" w14:paraId="4051E9CE" w14:textId="77777777" w:rsidTr="00206464">
        <w:trPr>
          <w:trHeight w:hRule="exact" w:val="115"/>
          <w:tblHeader/>
        </w:trPr>
        <w:tc>
          <w:tcPr>
            <w:tcW w:w="6192" w:type="dxa"/>
            <w:tcBorders>
              <w:top w:val="single" w:sz="12" w:space="0" w:color="auto"/>
            </w:tcBorders>
            <w:shd w:val="clear" w:color="auto" w:fill="auto"/>
            <w:vAlign w:val="bottom"/>
          </w:tcPr>
          <w:p w14:paraId="6551FA63"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09" w:type="dxa"/>
            <w:tcBorders>
              <w:top w:val="single" w:sz="12" w:space="0" w:color="auto"/>
            </w:tcBorders>
            <w:shd w:val="clear" w:color="auto" w:fill="auto"/>
            <w:vAlign w:val="bottom"/>
          </w:tcPr>
          <w:p w14:paraId="14FF93DD"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9" w:type="dxa"/>
            <w:tcBorders>
              <w:top w:val="single" w:sz="12" w:space="0" w:color="auto"/>
            </w:tcBorders>
            <w:shd w:val="clear" w:color="auto" w:fill="auto"/>
            <w:vAlign w:val="bottom"/>
          </w:tcPr>
          <w:p w14:paraId="2BD84E58"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24423D45"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60" w:type="dxa"/>
            <w:tcBorders>
              <w:top w:val="single" w:sz="12" w:space="0" w:color="auto"/>
            </w:tcBorders>
            <w:shd w:val="clear" w:color="auto" w:fill="auto"/>
            <w:vAlign w:val="bottom"/>
          </w:tcPr>
          <w:p w14:paraId="1C35357E"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F2E7C" w:rsidRPr="00E96905" w14:paraId="3D4CDCCF" w14:textId="77777777" w:rsidTr="00206464">
        <w:tc>
          <w:tcPr>
            <w:tcW w:w="6192" w:type="dxa"/>
            <w:shd w:val="clear" w:color="auto" w:fill="auto"/>
            <w:vAlign w:val="bottom"/>
          </w:tcPr>
          <w:p w14:paraId="2183652C"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E96905">
              <w:rPr>
                <w:b/>
                <w:bCs/>
                <w:sz w:val="17"/>
              </w:rPr>
              <w:t>B.</w:t>
            </w:r>
            <w:r w:rsidRPr="00E96905">
              <w:rPr>
                <w:b/>
                <w:bCs/>
                <w:sz w:val="17"/>
              </w:rPr>
              <w:tab/>
              <w:t>Generation and transfer of knowledge</w:t>
            </w:r>
          </w:p>
        </w:tc>
        <w:tc>
          <w:tcPr>
            <w:tcW w:w="909" w:type="dxa"/>
            <w:shd w:val="clear" w:color="auto" w:fill="auto"/>
            <w:vAlign w:val="bottom"/>
          </w:tcPr>
          <w:p w14:paraId="48CCFA96"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09" w:type="dxa"/>
            <w:shd w:val="clear" w:color="auto" w:fill="auto"/>
            <w:vAlign w:val="bottom"/>
          </w:tcPr>
          <w:p w14:paraId="7AB62FC5"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00" w:type="dxa"/>
            <w:shd w:val="clear" w:color="auto" w:fill="auto"/>
            <w:vAlign w:val="bottom"/>
          </w:tcPr>
          <w:p w14:paraId="3A538C42"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60" w:type="dxa"/>
            <w:shd w:val="clear" w:color="auto" w:fill="auto"/>
            <w:vAlign w:val="bottom"/>
          </w:tcPr>
          <w:p w14:paraId="323884D6"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3F2E7C" w:rsidRPr="00E96905" w14:paraId="3A1EF44C" w14:textId="77777777" w:rsidTr="00206464">
        <w:tc>
          <w:tcPr>
            <w:tcW w:w="6192" w:type="dxa"/>
            <w:shd w:val="clear" w:color="auto" w:fill="auto"/>
            <w:vAlign w:val="bottom"/>
          </w:tcPr>
          <w:p w14:paraId="48BFCD96"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ab/>
            </w:r>
            <w:r w:rsidRPr="00E96905">
              <w:rPr>
                <w:b/>
                <w:bCs/>
                <w:sz w:val="17"/>
              </w:rPr>
              <w:t>Field and technical cooperation projects</w:t>
            </w:r>
            <w:r w:rsidRPr="00E96905">
              <w:rPr>
                <w:sz w:val="17"/>
              </w:rPr>
              <w:t xml:space="preserve"> (number of projects)</w:t>
            </w:r>
          </w:p>
        </w:tc>
        <w:tc>
          <w:tcPr>
            <w:tcW w:w="909" w:type="dxa"/>
            <w:shd w:val="clear" w:color="auto" w:fill="auto"/>
            <w:vAlign w:val="bottom"/>
          </w:tcPr>
          <w:p w14:paraId="013ECBE9"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28</w:t>
            </w:r>
          </w:p>
        </w:tc>
        <w:tc>
          <w:tcPr>
            <w:tcW w:w="909" w:type="dxa"/>
            <w:shd w:val="clear" w:color="auto" w:fill="auto"/>
            <w:vAlign w:val="bottom"/>
          </w:tcPr>
          <w:p w14:paraId="61216A02"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23</w:t>
            </w:r>
          </w:p>
        </w:tc>
        <w:tc>
          <w:tcPr>
            <w:tcW w:w="900" w:type="dxa"/>
            <w:shd w:val="clear" w:color="auto" w:fill="auto"/>
            <w:vAlign w:val="bottom"/>
          </w:tcPr>
          <w:p w14:paraId="59ECA9B0"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31</w:t>
            </w:r>
          </w:p>
        </w:tc>
        <w:tc>
          <w:tcPr>
            <w:tcW w:w="960" w:type="dxa"/>
            <w:shd w:val="clear" w:color="auto" w:fill="auto"/>
            <w:vAlign w:val="bottom"/>
          </w:tcPr>
          <w:p w14:paraId="6736BDDF"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19</w:t>
            </w:r>
          </w:p>
        </w:tc>
      </w:tr>
      <w:tr w:rsidR="003F2E7C" w:rsidRPr="00E96905" w14:paraId="1D53FB49" w14:textId="77777777" w:rsidTr="00206464">
        <w:tc>
          <w:tcPr>
            <w:tcW w:w="6192" w:type="dxa"/>
            <w:shd w:val="clear" w:color="auto" w:fill="auto"/>
            <w:vAlign w:val="bottom"/>
          </w:tcPr>
          <w:p w14:paraId="508ECABF"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ab/>
              <w:t>1.</w:t>
            </w:r>
            <w:r w:rsidRPr="00E96905">
              <w:rPr>
                <w:sz w:val="17"/>
              </w:rPr>
              <w:tab/>
              <w:t>Projects on enhanced social integration and cohesive communities</w:t>
            </w:r>
          </w:p>
        </w:tc>
        <w:tc>
          <w:tcPr>
            <w:tcW w:w="909" w:type="dxa"/>
            <w:shd w:val="clear" w:color="auto" w:fill="auto"/>
            <w:vAlign w:val="bottom"/>
          </w:tcPr>
          <w:p w14:paraId="1104D1A3"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10</w:t>
            </w:r>
          </w:p>
        </w:tc>
        <w:tc>
          <w:tcPr>
            <w:tcW w:w="909" w:type="dxa"/>
            <w:shd w:val="clear" w:color="auto" w:fill="auto"/>
            <w:vAlign w:val="bottom"/>
          </w:tcPr>
          <w:p w14:paraId="00EB224D"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8</w:t>
            </w:r>
          </w:p>
        </w:tc>
        <w:tc>
          <w:tcPr>
            <w:tcW w:w="900" w:type="dxa"/>
            <w:shd w:val="clear" w:color="auto" w:fill="auto"/>
            <w:vAlign w:val="bottom"/>
          </w:tcPr>
          <w:p w14:paraId="578F8D68"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10</w:t>
            </w:r>
          </w:p>
        </w:tc>
        <w:tc>
          <w:tcPr>
            <w:tcW w:w="960" w:type="dxa"/>
            <w:shd w:val="clear" w:color="auto" w:fill="auto"/>
            <w:vAlign w:val="bottom"/>
          </w:tcPr>
          <w:p w14:paraId="3930B9C8" w14:textId="77777777" w:rsidR="003F2E7C" w:rsidRPr="00E96905" w:rsidRDefault="003F2E7C" w:rsidP="002D4D92">
            <w:pPr>
              <w:pStyle w:val="SingleTxt"/>
              <w:keepNext/>
              <w:keepLines/>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8</w:t>
            </w:r>
          </w:p>
        </w:tc>
      </w:tr>
      <w:tr w:rsidR="003F2E7C" w:rsidRPr="00E96905" w14:paraId="09E39A7A" w14:textId="77777777" w:rsidTr="00206464">
        <w:tc>
          <w:tcPr>
            <w:tcW w:w="6192" w:type="dxa"/>
            <w:shd w:val="clear" w:color="auto" w:fill="auto"/>
            <w:vAlign w:val="bottom"/>
          </w:tcPr>
          <w:p w14:paraId="39DBD9E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E96905">
              <w:rPr>
                <w:sz w:val="17"/>
              </w:rPr>
              <w:tab/>
              <w:t>2.</w:t>
            </w:r>
            <w:r w:rsidRPr="00E96905">
              <w:rPr>
                <w:sz w:val="17"/>
              </w:rPr>
              <w:tab/>
              <w:t>Projects on improved living standards and inclusion of migrants, refugees and internally displaced persons</w:t>
            </w:r>
          </w:p>
        </w:tc>
        <w:tc>
          <w:tcPr>
            <w:tcW w:w="909" w:type="dxa"/>
            <w:shd w:val="clear" w:color="auto" w:fill="auto"/>
            <w:vAlign w:val="bottom"/>
          </w:tcPr>
          <w:p w14:paraId="4242C66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10</w:t>
            </w:r>
          </w:p>
        </w:tc>
        <w:tc>
          <w:tcPr>
            <w:tcW w:w="909" w:type="dxa"/>
            <w:shd w:val="clear" w:color="auto" w:fill="auto"/>
            <w:vAlign w:val="bottom"/>
          </w:tcPr>
          <w:p w14:paraId="16C2880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8</w:t>
            </w:r>
          </w:p>
        </w:tc>
        <w:tc>
          <w:tcPr>
            <w:tcW w:w="900" w:type="dxa"/>
            <w:shd w:val="clear" w:color="auto" w:fill="auto"/>
            <w:vAlign w:val="bottom"/>
          </w:tcPr>
          <w:p w14:paraId="3FE9653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11</w:t>
            </w:r>
          </w:p>
        </w:tc>
        <w:tc>
          <w:tcPr>
            <w:tcW w:w="960" w:type="dxa"/>
            <w:shd w:val="clear" w:color="auto" w:fill="auto"/>
            <w:vAlign w:val="bottom"/>
          </w:tcPr>
          <w:p w14:paraId="77DD8FD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5</w:t>
            </w:r>
          </w:p>
        </w:tc>
      </w:tr>
      <w:tr w:rsidR="003F2E7C" w:rsidRPr="00E96905" w14:paraId="360CAEB0" w14:textId="77777777" w:rsidTr="00206464">
        <w:tc>
          <w:tcPr>
            <w:tcW w:w="6192" w:type="dxa"/>
            <w:shd w:val="clear" w:color="auto" w:fill="auto"/>
            <w:vAlign w:val="bottom"/>
          </w:tcPr>
          <w:p w14:paraId="7BA9E18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ab/>
              <w:t>3.</w:t>
            </w:r>
            <w:r w:rsidRPr="00E96905">
              <w:rPr>
                <w:sz w:val="17"/>
              </w:rPr>
              <w:tab/>
              <w:t>Projects on enhanced resilience of the built environment and infrastructure</w:t>
            </w:r>
          </w:p>
        </w:tc>
        <w:tc>
          <w:tcPr>
            <w:tcW w:w="909" w:type="dxa"/>
            <w:shd w:val="clear" w:color="auto" w:fill="auto"/>
            <w:vAlign w:val="bottom"/>
          </w:tcPr>
          <w:p w14:paraId="3F3D11F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8</w:t>
            </w:r>
          </w:p>
        </w:tc>
        <w:tc>
          <w:tcPr>
            <w:tcW w:w="909" w:type="dxa"/>
            <w:shd w:val="clear" w:color="auto" w:fill="auto"/>
            <w:vAlign w:val="bottom"/>
          </w:tcPr>
          <w:p w14:paraId="24E8082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7</w:t>
            </w:r>
          </w:p>
        </w:tc>
        <w:tc>
          <w:tcPr>
            <w:tcW w:w="900" w:type="dxa"/>
            <w:shd w:val="clear" w:color="auto" w:fill="auto"/>
            <w:vAlign w:val="bottom"/>
          </w:tcPr>
          <w:p w14:paraId="748C9F1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10</w:t>
            </w:r>
          </w:p>
        </w:tc>
        <w:tc>
          <w:tcPr>
            <w:tcW w:w="960" w:type="dxa"/>
            <w:shd w:val="clear" w:color="auto" w:fill="auto"/>
            <w:vAlign w:val="bottom"/>
          </w:tcPr>
          <w:p w14:paraId="51BF618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6</w:t>
            </w:r>
          </w:p>
        </w:tc>
      </w:tr>
      <w:tr w:rsidR="003F2E7C" w:rsidRPr="00E96905" w14:paraId="4186D6E9" w14:textId="77777777" w:rsidTr="00206464">
        <w:tc>
          <w:tcPr>
            <w:tcW w:w="6192" w:type="dxa"/>
            <w:shd w:val="clear" w:color="auto" w:fill="auto"/>
            <w:vAlign w:val="bottom"/>
          </w:tcPr>
          <w:p w14:paraId="1F96767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b/>
                <w:bCs/>
                <w:sz w:val="17"/>
              </w:rPr>
              <w:tab/>
              <w:t>Seminars, workshops and training events</w:t>
            </w:r>
            <w:r w:rsidRPr="00E96905">
              <w:rPr>
                <w:sz w:val="17"/>
              </w:rPr>
              <w:t xml:space="preserve"> (number of days)</w:t>
            </w:r>
          </w:p>
        </w:tc>
        <w:tc>
          <w:tcPr>
            <w:tcW w:w="909" w:type="dxa"/>
            <w:shd w:val="clear" w:color="auto" w:fill="auto"/>
            <w:vAlign w:val="bottom"/>
          </w:tcPr>
          <w:p w14:paraId="6A4ACB7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42</w:t>
            </w:r>
          </w:p>
        </w:tc>
        <w:tc>
          <w:tcPr>
            <w:tcW w:w="909" w:type="dxa"/>
            <w:shd w:val="clear" w:color="auto" w:fill="auto"/>
            <w:vAlign w:val="bottom"/>
          </w:tcPr>
          <w:p w14:paraId="526C0B6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27</w:t>
            </w:r>
          </w:p>
        </w:tc>
        <w:tc>
          <w:tcPr>
            <w:tcW w:w="900" w:type="dxa"/>
            <w:shd w:val="clear" w:color="auto" w:fill="auto"/>
            <w:vAlign w:val="bottom"/>
          </w:tcPr>
          <w:p w14:paraId="15FDC48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45</w:t>
            </w:r>
          </w:p>
        </w:tc>
        <w:tc>
          <w:tcPr>
            <w:tcW w:w="960" w:type="dxa"/>
            <w:shd w:val="clear" w:color="auto" w:fill="auto"/>
            <w:vAlign w:val="bottom"/>
          </w:tcPr>
          <w:p w14:paraId="4369810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31</w:t>
            </w:r>
          </w:p>
        </w:tc>
      </w:tr>
      <w:tr w:rsidR="003F2E7C" w:rsidRPr="00E96905" w14:paraId="223A258E" w14:textId="77777777" w:rsidTr="00206464">
        <w:tc>
          <w:tcPr>
            <w:tcW w:w="6192" w:type="dxa"/>
            <w:shd w:val="clear" w:color="auto" w:fill="auto"/>
            <w:vAlign w:val="bottom"/>
          </w:tcPr>
          <w:p w14:paraId="6CEF706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E96905">
              <w:rPr>
                <w:sz w:val="17"/>
              </w:rPr>
              <w:tab/>
              <w:t>4.</w:t>
            </w:r>
            <w:r w:rsidRPr="00E96905">
              <w:rPr>
                <w:sz w:val="17"/>
              </w:rPr>
              <w:tab/>
              <w:t xml:space="preserve">Seminars, workshops and training events on enhanced social integration and cohesive communities </w:t>
            </w:r>
          </w:p>
        </w:tc>
        <w:tc>
          <w:tcPr>
            <w:tcW w:w="909" w:type="dxa"/>
            <w:shd w:val="clear" w:color="auto" w:fill="auto"/>
            <w:vAlign w:val="bottom"/>
          </w:tcPr>
          <w:p w14:paraId="38B8DFE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16</w:t>
            </w:r>
          </w:p>
        </w:tc>
        <w:tc>
          <w:tcPr>
            <w:tcW w:w="909" w:type="dxa"/>
            <w:shd w:val="clear" w:color="auto" w:fill="auto"/>
            <w:vAlign w:val="bottom"/>
          </w:tcPr>
          <w:p w14:paraId="2771DCA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10</w:t>
            </w:r>
          </w:p>
        </w:tc>
        <w:tc>
          <w:tcPr>
            <w:tcW w:w="900" w:type="dxa"/>
            <w:shd w:val="clear" w:color="auto" w:fill="auto"/>
            <w:vAlign w:val="bottom"/>
          </w:tcPr>
          <w:p w14:paraId="562B070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18</w:t>
            </w:r>
          </w:p>
        </w:tc>
        <w:tc>
          <w:tcPr>
            <w:tcW w:w="960" w:type="dxa"/>
            <w:shd w:val="clear" w:color="auto" w:fill="auto"/>
            <w:vAlign w:val="bottom"/>
          </w:tcPr>
          <w:p w14:paraId="4BB963E5"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12</w:t>
            </w:r>
          </w:p>
        </w:tc>
      </w:tr>
      <w:tr w:rsidR="003F2E7C" w:rsidRPr="00E96905" w14:paraId="54676C0C" w14:textId="77777777" w:rsidTr="00206464">
        <w:tc>
          <w:tcPr>
            <w:tcW w:w="6192" w:type="dxa"/>
            <w:shd w:val="clear" w:color="auto" w:fill="auto"/>
            <w:vAlign w:val="bottom"/>
          </w:tcPr>
          <w:p w14:paraId="2BBF7880"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E96905">
              <w:rPr>
                <w:sz w:val="17"/>
              </w:rPr>
              <w:tab/>
              <w:t>5.</w:t>
            </w:r>
            <w:r w:rsidRPr="00E96905">
              <w:rPr>
                <w:sz w:val="17"/>
              </w:rPr>
              <w:tab/>
              <w:t xml:space="preserve">Seminars, workshops and training events on improved living standards and inclusion of migrants, refugees and internally displaced persons </w:t>
            </w:r>
          </w:p>
        </w:tc>
        <w:tc>
          <w:tcPr>
            <w:tcW w:w="909" w:type="dxa"/>
            <w:shd w:val="clear" w:color="auto" w:fill="auto"/>
            <w:vAlign w:val="bottom"/>
          </w:tcPr>
          <w:p w14:paraId="6B7E9E0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13</w:t>
            </w:r>
          </w:p>
        </w:tc>
        <w:tc>
          <w:tcPr>
            <w:tcW w:w="909" w:type="dxa"/>
            <w:shd w:val="clear" w:color="auto" w:fill="auto"/>
            <w:vAlign w:val="bottom"/>
          </w:tcPr>
          <w:p w14:paraId="7380DF4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9</w:t>
            </w:r>
          </w:p>
        </w:tc>
        <w:tc>
          <w:tcPr>
            <w:tcW w:w="900" w:type="dxa"/>
            <w:shd w:val="clear" w:color="auto" w:fill="auto"/>
            <w:vAlign w:val="bottom"/>
          </w:tcPr>
          <w:p w14:paraId="3202D9A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13</w:t>
            </w:r>
          </w:p>
        </w:tc>
        <w:tc>
          <w:tcPr>
            <w:tcW w:w="960" w:type="dxa"/>
            <w:shd w:val="clear" w:color="auto" w:fill="auto"/>
            <w:vAlign w:val="bottom"/>
          </w:tcPr>
          <w:p w14:paraId="32647EF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8</w:t>
            </w:r>
          </w:p>
        </w:tc>
      </w:tr>
      <w:tr w:rsidR="003F2E7C" w:rsidRPr="00E96905" w14:paraId="2EA26F21" w14:textId="77777777" w:rsidTr="00206464">
        <w:tc>
          <w:tcPr>
            <w:tcW w:w="6192" w:type="dxa"/>
            <w:shd w:val="clear" w:color="auto" w:fill="auto"/>
            <w:vAlign w:val="bottom"/>
          </w:tcPr>
          <w:p w14:paraId="1EA8E98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E96905">
              <w:rPr>
                <w:sz w:val="17"/>
              </w:rPr>
              <w:tab/>
              <w:t>6.</w:t>
            </w:r>
            <w:r w:rsidRPr="00E96905">
              <w:rPr>
                <w:sz w:val="17"/>
              </w:rPr>
              <w:tab/>
              <w:t>Seminars, workshops and training events on enhanced resilience of the built environment and infrastructure</w:t>
            </w:r>
          </w:p>
        </w:tc>
        <w:tc>
          <w:tcPr>
            <w:tcW w:w="909" w:type="dxa"/>
            <w:shd w:val="clear" w:color="auto" w:fill="auto"/>
            <w:vAlign w:val="bottom"/>
          </w:tcPr>
          <w:p w14:paraId="5114438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13</w:t>
            </w:r>
          </w:p>
        </w:tc>
        <w:tc>
          <w:tcPr>
            <w:tcW w:w="909" w:type="dxa"/>
            <w:shd w:val="clear" w:color="auto" w:fill="auto"/>
            <w:vAlign w:val="bottom"/>
          </w:tcPr>
          <w:p w14:paraId="116F573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8</w:t>
            </w:r>
          </w:p>
        </w:tc>
        <w:tc>
          <w:tcPr>
            <w:tcW w:w="900" w:type="dxa"/>
            <w:shd w:val="clear" w:color="auto" w:fill="auto"/>
            <w:vAlign w:val="bottom"/>
          </w:tcPr>
          <w:p w14:paraId="77713277"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14</w:t>
            </w:r>
          </w:p>
        </w:tc>
        <w:tc>
          <w:tcPr>
            <w:tcW w:w="960" w:type="dxa"/>
            <w:shd w:val="clear" w:color="auto" w:fill="auto"/>
            <w:vAlign w:val="bottom"/>
          </w:tcPr>
          <w:p w14:paraId="4CA9F17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11</w:t>
            </w:r>
          </w:p>
        </w:tc>
      </w:tr>
      <w:tr w:rsidR="003F2E7C" w:rsidRPr="00E96905" w14:paraId="09E67EF9" w14:textId="77777777" w:rsidTr="00206464">
        <w:tc>
          <w:tcPr>
            <w:tcW w:w="6192" w:type="dxa"/>
            <w:shd w:val="clear" w:color="auto" w:fill="auto"/>
            <w:vAlign w:val="bottom"/>
          </w:tcPr>
          <w:p w14:paraId="288DFE3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b/>
                <w:bCs/>
                <w:sz w:val="17"/>
              </w:rPr>
              <w:tab/>
              <w:t>Publications</w:t>
            </w:r>
            <w:r w:rsidRPr="00E96905">
              <w:rPr>
                <w:sz w:val="17"/>
              </w:rPr>
              <w:t xml:space="preserve"> (number of publications) </w:t>
            </w:r>
          </w:p>
        </w:tc>
        <w:tc>
          <w:tcPr>
            <w:tcW w:w="909" w:type="dxa"/>
            <w:shd w:val="clear" w:color="auto" w:fill="auto"/>
            <w:vAlign w:val="bottom"/>
          </w:tcPr>
          <w:p w14:paraId="6A5F14F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2</w:t>
            </w:r>
          </w:p>
        </w:tc>
        <w:tc>
          <w:tcPr>
            <w:tcW w:w="909" w:type="dxa"/>
            <w:shd w:val="clear" w:color="auto" w:fill="auto"/>
            <w:vAlign w:val="bottom"/>
          </w:tcPr>
          <w:p w14:paraId="5CB356E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1</w:t>
            </w:r>
          </w:p>
        </w:tc>
        <w:tc>
          <w:tcPr>
            <w:tcW w:w="900" w:type="dxa"/>
            <w:shd w:val="clear" w:color="auto" w:fill="auto"/>
            <w:vAlign w:val="bottom"/>
          </w:tcPr>
          <w:p w14:paraId="67192D8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2</w:t>
            </w:r>
          </w:p>
        </w:tc>
        <w:tc>
          <w:tcPr>
            <w:tcW w:w="960" w:type="dxa"/>
            <w:shd w:val="clear" w:color="auto" w:fill="auto"/>
            <w:vAlign w:val="bottom"/>
          </w:tcPr>
          <w:p w14:paraId="4BF4D04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2</w:t>
            </w:r>
          </w:p>
        </w:tc>
      </w:tr>
      <w:tr w:rsidR="003F2E7C" w:rsidRPr="00E96905" w14:paraId="214BD6FB" w14:textId="77777777" w:rsidTr="00206464">
        <w:tc>
          <w:tcPr>
            <w:tcW w:w="6192" w:type="dxa"/>
            <w:shd w:val="clear" w:color="auto" w:fill="auto"/>
            <w:vAlign w:val="bottom"/>
          </w:tcPr>
          <w:p w14:paraId="6AA1C7C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E96905">
              <w:rPr>
                <w:sz w:val="17"/>
              </w:rPr>
              <w:tab/>
              <w:t>7.</w:t>
            </w:r>
            <w:r w:rsidRPr="00E96905">
              <w:rPr>
                <w:sz w:val="17"/>
              </w:rPr>
              <w:tab/>
              <w:t>Publication on improved living standards and inclusion of migrants, refugees and internally displaced persons</w:t>
            </w:r>
          </w:p>
        </w:tc>
        <w:tc>
          <w:tcPr>
            <w:tcW w:w="909" w:type="dxa"/>
            <w:shd w:val="clear" w:color="auto" w:fill="auto"/>
            <w:vAlign w:val="bottom"/>
          </w:tcPr>
          <w:p w14:paraId="5B794B3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w:t>
            </w:r>
          </w:p>
        </w:tc>
        <w:tc>
          <w:tcPr>
            <w:tcW w:w="909" w:type="dxa"/>
            <w:shd w:val="clear" w:color="auto" w:fill="auto"/>
            <w:vAlign w:val="bottom"/>
          </w:tcPr>
          <w:p w14:paraId="57488DB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w:t>
            </w:r>
          </w:p>
        </w:tc>
        <w:tc>
          <w:tcPr>
            <w:tcW w:w="900" w:type="dxa"/>
            <w:shd w:val="clear" w:color="auto" w:fill="auto"/>
            <w:vAlign w:val="bottom"/>
          </w:tcPr>
          <w:p w14:paraId="1570CF6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w:t>
            </w:r>
          </w:p>
        </w:tc>
        <w:tc>
          <w:tcPr>
            <w:tcW w:w="960" w:type="dxa"/>
            <w:shd w:val="clear" w:color="auto" w:fill="auto"/>
            <w:vAlign w:val="bottom"/>
          </w:tcPr>
          <w:p w14:paraId="23D0EE1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w:t>
            </w:r>
          </w:p>
        </w:tc>
      </w:tr>
      <w:tr w:rsidR="003F2E7C" w:rsidRPr="00E96905" w14:paraId="6E9BA9E5" w14:textId="77777777" w:rsidTr="00206464">
        <w:tc>
          <w:tcPr>
            <w:tcW w:w="6192" w:type="dxa"/>
            <w:shd w:val="clear" w:color="auto" w:fill="auto"/>
            <w:vAlign w:val="bottom"/>
          </w:tcPr>
          <w:p w14:paraId="75832C1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E96905">
              <w:rPr>
                <w:sz w:val="17"/>
              </w:rPr>
              <w:tab/>
              <w:t>8.</w:t>
            </w:r>
            <w:r w:rsidRPr="00E96905">
              <w:rPr>
                <w:sz w:val="17"/>
              </w:rPr>
              <w:tab/>
              <w:t>Publication on enhanced resilience of the built environment and infrastructure</w:t>
            </w:r>
          </w:p>
        </w:tc>
        <w:tc>
          <w:tcPr>
            <w:tcW w:w="909" w:type="dxa"/>
            <w:shd w:val="clear" w:color="auto" w:fill="auto"/>
            <w:vAlign w:val="bottom"/>
          </w:tcPr>
          <w:p w14:paraId="443FE83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w:t>
            </w:r>
          </w:p>
        </w:tc>
        <w:tc>
          <w:tcPr>
            <w:tcW w:w="909" w:type="dxa"/>
            <w:shd w:val="clear" w:color="auto" w:fill="auto"/>
            <w:vAlign w:val="bottom"/>
          </w:tcPr>
          <w:p w14:paraId="62BD63A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w:t>
            </w:r>
          </w:p>
        </w:tc>
        <w:tc>
          <w:tcPr>
            <w:tcW w:w="900" w:type="dxa"/>
            <w:shd w:val="clear" w:color="auto" w:fill="auto"/>
            <w:vAlign w:val="bottom"/>
          </w:tcPr>
          <w:p w14:paraId="16A58C7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w:t>
            </w:r>
          </w:p>
        </w:tc>
        <w:tc>
          <w:tcPr>
            <w:tcW w:w="960" w:type="dxa"/>
            <w:shd w:val="clear" w:color="auto" w:fill="auto"/>
            <w:vAlign w:val="bottom"/>
          </w:tcPr>
          <w:p w14:paraId="680A4F9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w:t>
            </w:r>
          </w:p>
        </w:tc>
      </w:tr>
      <w:tr w:rsidR="003F2E7C" w:rsidRPr="00E96905" w14:paraId="46BAA64F" w14:textId="77777777" w:rsidTr="00206464">
        <w:tc>
          <w:tcPr>
            <w:tcW w:w="6192" w:type="dxa"/>
            <w:shd w:val="clear" w:color="auto" w:fill="auto"/>
            <w:vAlign w:val="bottom"/>
          </w:tcPr>
          <w:p w14:paraId="64D19AD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ab/>
            </w:r>
            <w:r w:rsidRPr="00E96905">
              <w:rPr>
                <w:b/>
                <w:bCs/>
                <w:sz w:val="17"/>
              </w:rPr>
              <w:t>Technical materials</w:t>
            </w:r>
            <w:r w:rsidRPr="00E96905">
              <w:rPr>
                <w:sz w:val="17"/>
              </w:rPr>
              <w:t xml:space="preserve"> (number of materials)</w:t>
            </w:r>
          </w:p>
        </w:tc>
        <w:tc>
          <w:tcPr>
            <w:tcW w:w="909" w:type="dxa"/>
            <w:shd w:val="clear" w:color="auto" w:fill="auto"/>
            <w:vAlign w:val="bottom"/>
          </w:tcPr>
          <w:p w14:paraId="582D4207"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9</w:t>
            </w:r>
          </w:p>
        </w:tc>
        <w:tc>
          <w:tcPr>
            <w:tcW w:w="909" w:type="dxa"/>
            <w:shd w:val="clear" w:color="auto" w:fill="auto"/>
            <w:vAlign w:val="bottom"/>
          </w:tcPr>
          <w:p w14:paraId="5B4AFB4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6</w:t>
            </w:r>
          </w:p>
        </w:tc>
        <w:tc>
          <w:tcPr>
            <w:tcW w:w="900" w:type="dxa"/>
            <w:shd w:val="clear" w:color="auto" w:fill="auto"/>
            <w:vAlign w:val="bottom"/>
          </w:tcPr>
          <w:p w14:paraId="6696D2D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9</w:t>
            </w:r>
          </w:p>
        </w:tc>
        <w:tc>
          <w:tcPr>
            <w:tcW w:w="960" w:type="dxa"/>
            <w:shd w:val="clear" w:color="auto" w:fill="auto"/>
            <w:vAlign w:val="bottom"/>
          </w:tcPr>
          <w:p w14:paraId="4323929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b/>
                <w:bCs/>
                <w:sz w:val="17"/>
              </w:rPr>
            </w:pPr>
            <w:r w:rsidRPr="00E96905">
              <w:rPr>
                <w:b/>
                <w:bCs/>
                <w:sz w:val="17"/>
              </w:rPr>
              <w:t>6</w:t>
            </w:r>
          </w:p>
        </w:tc>
      </w:tr>
      <w:tr w:rsidR="003F2E7C" w:rsidRPr="00E96905" w14:paraId="27EF1C79" w14:textId="77777777" w:rsidTr="00206464">
        <w:tc>
          <w:tcPr>
            <w:tcW w:w="6192" w:type="dxa"/>
            <w:shd w:val="clear" w:color="auto" w:fill="auto"/>
            <w:vAlign w:val="bottom"/>
          </w:tcPr>
          <w:p w14:paraId="018AF22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E96905">
              <w:rPr>
                <w:sz w:val="17"/>
              </w:rPr>
              <w:tab/>
              <w:t>9.</w:t>
            </w:r>
            <w:r w:rsidRPr="00E96905">
              <w:rPr>
                <w:sz w:val="17"/>
              </w:rPr>
              <w:tab/>
              <w:t>Technical materials on enhanced social integration and cohesive communities</w:t>
            </w:r>
          </w:p>
        </w:tc>
        <w:tc>
          <w:tcPr>
            <w:tcW w:w="909" w:type="dxa"/>
            <w:shd w:val="clear" w:color="auto" w:fill="auto"/>
            <w:vAlign w:val="bottom"/>
          </w:tcPr>
          <w:p w14:paraId="4A797B25"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w:t>
            </w:r>
          </w:p>
        </w:tc>
        <w:tc>
          <w:tcPr>
            <w:tcW w:w="909" w:type="dxa"/>
            <w:shd w:val="clear" w:color="auto" w:fill="auto"/>
            <w:vAlign w:val="bottom"/>
          </w:tcPr>
          <w:p w14:paraId="31760945"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2</w:t>
            </w:r>
          </w:p>
        </w:tc>
        <w:tc>
          <w:tcPr>
            <w:tcW w:w="900" w:type="dxa"/>
            <w:shd w:val="clear" w:color="auto" w:fill="auto"/>
            <w:vAlign w:val="bottom"/>
          </w:tcPr>
          <w:p w14:paraId="184E5E4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w:t>
            </w:r>
          </w:p>
        </w:tc>
        <w:tc>
          <w:tcPr>
            <w:tcW w:w="960" w:type="dxa"/>
            <w:shd w:val="clear" w:color="auto" w:fill="auto"/>
            <w:vAlign w:val="bottom"/>
          </w:tcPr>
          <w:p w14:paraId="11849FB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2</w:t>
            </w:r>
          </w:p>
        </w:tc>
      </w:tr>
      <w:tr w:rsidR="003F2E7C" w:rsidRPr="00E96905" w14:paraId="063DA8D6" w14:textId="77777777" w:rsidTr="00206464">
        <w:tc>
          <w:tcPr>
            <w:tcW w:w="6192" w:type="dxa"/>
            <w:shd w:val="clear" w:color="auto" w:fill="auto"/>
            <w:vAlign w:val="bottom"/>
          </w:tcPr>
          <w:p w14:paraId="1B24194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E96905">
              <w:rPr>
                <w:sz w:val="17"/>
              </w:rPr>
              <w:tab/>
              <w:t>10.</w:t>
            </w:r>
            <w:r w:rsidRPr="00E96905">
              <w:rPr>
                <w:sz w:val="17"/>
              </w:rPr>
              <w:tab/>
              <w:t>Technical materials on improved living standards and inclusion of migrants, refugees and internally displaced persons</w:t>
            </w:r>
          </w:p>
        </w:tc>
        <w:tc>
          <w:tcPr>
            <w:tcW w:w="909" w:type="dxa"/>
            <w:shd w:val="clear" w:color="auto" w:fill="auto"/>
            <w:vAlign w:val="bottom"/>
          </w:tcPr>
          <w:p w14:paraId="52E9E7D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w:t>
            </w:r>
          </w:p>
        </w:tc>
        <w:tc>
          <w:tcPr>
            <w:tcW w:w="909" w:type="dxa"/>
            <w:shd w:val="clear" w:color="auto" w:fill="auto"/>
            <w:vAlign w:val="bottom"/>
          </w:tcPr>
          <w:p w14:paraId="7271294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2</w:t>
            </w:r>
          </w:p>
        </w:tc>
        <w:tc>
          <w:tcPr>
            <w:tcW w:w="900" w:type="dxa"/>
            <w:shd w:val="clear" w:color="auto" w:fill="auto"/>
            <w:vAlign w:val="bottom"/>
          </w:tcPr>
          <w:p w14:paraId="7A489B3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w:t>
            </w:r>
          </w:p>
        </w:tc>
        <w:tc>
          <w:tcPr>
            <w:tcW w:w="960" w:type="dxa"/>
            <w:shd w:val="clear" w:color="auto" w:fill="auto"/>
            <w:vAlign w:val="bottom"/>
          </w:tcPr>
          <w:p w14:paraId="4E78AAC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2</w:t>
            </w:r>
          </w:p>
        </w:tc>
      </w:tr>
      <w:tr w:rsidR="003F2E7C" w:rsidRPr="00E96905" w14:paraId="7D4FF248" w14:textId="77777777" w:rsidTr="00206464">
        <w:tc>
          <w:tcPr>
            <w:tcW w:w="6192" w:type="dxa"/>
            <w:shd w:val="clear" w:color="auto" w:fill="auto"/>
            <w:vAlign w:val="bottom"/>
          </w:tcPr>
          <w:p w14:paraId="0682C0D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576" w:right="40" w:hanging="576"/>
              <w:jc w:val="left"/>
              <w:rPr>
                <w:sz w:val="17"/>
              </w:rPr>
            </w:pPr>
            <w:r w:rsidRPr="00E96905">
              <w:rPr>
                <w:sz w:val="17"/>
              </w:rPr>
              <w:tab/>
              <w:t>11.</w:t>
            </w:r>
            <w:r w:rsidRPr="00E96905">
              <w:rPr>
                <w:sz w:val="17"/>
              </w:rPr>
              <w:tab/>
              <w:t>Technical materials on enhanced resilience of the built environment and infrastructure</w:t>
            </w:r>
          </w:p>
        </w:tc>
        <w:tc>
          <w:tcPr>
            <w:tcW w:w="909" w:type="dxa"/>
            <w:shd w:val="clear" w:color="auto" w:fill="auto"/>
            <w:vAlign w:val="bottom"/>
          </w:tcPr>
          <w:p w14:paraId="612D645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w:t>
            </w:r>
          </w:p>
        </w:tc>
        <w:tc>
          <w:tcPr>
            <w:tcW w:w="909" w:type="dxa"/>
            <w:shd w:val="clear" w:color="auto" w:fill="auto"/>
            <w:vAlign w:val="bottom"/>
          </w:tcPr>
          <w:p w14:paraId="256FC5E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2</w:t>
            </w:r>
          </w:p>
        </w:tc>
        <w:tc>
          <w:tcPr>
            <w:tcW w:w="900" w:type="dxa"/>
            <w:shd w:val="clear" w:color="auto" w:fill="auto"/>
            <w:vAlign w:val="bottom"/>
          </w:tcPr>
          <w:p w14:paraId="4C074C3D"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w:t>
            </w:r>
          </w:p>
        </w:tc>
        <w:tc>
          <w:tcPr>
            <w:tcW w:w="960" w:type="dxa"/>
            <w:shd w:val="clear" w:color="auto" w:fill="auto"/>
            <w:vAlign w:val="bottom"/>
          </w:tcPr>
          <w:p w14:paraId="4F04918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2</w:t>
            </w:r>
          </w:p>
        </w:tc>
      </w:tr>
      <w:tr w:rsidR="003F2E7C" w:rsidRPr="00E96905" w14:paraId="107E3531" w14:textId="77777777" w:rsidTr="00206464">
        <w:tc>
          <w:tcPr>
            <w:tcW w:w="6192" w:type="dxa"/>
            <w:shd w:val="clear" w:color="auto" w:fill="auto"/>
            <w:vAlign w:val="bottom"/>
          </w:tcPr>
          <w:p w14:paraId="7F0EB93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E96905">
              <w:rPr>
                <w:b/>
                <w:bCs/>
                <w:sz w:val="17"/>
              </w:rPr>
              <w:t>C.</w:t>
            </w:r>
            <w:r w:rsidRPr="00E96905">
              <w:rPr>
                <w:b/>
                <w:bCs/>
                <w:sz w:val="17"/>
              </w:rPr>
              <w:tab/>
              <w:t>Substantive deliverables</w:t>
            </w:r>
          </w:p>
        </w:tc>
        <w:tc>
          <w:tcPr>
            <w:tcW w:w="909" w:type="dxa"/>
            <w:shd w:val="clear" w:color="auto" w:fill="auto"/>
            <w:vAlign w:val="bottom"/>
          </w:tcPr>
          <w:p w14:paraId="72E4D6A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09" w:type="dxa"/>
            <w:shd w:val="clear" w:color="auto" w:fill="auto"/>
            <w:vAlign w:val="bottom"/>
          </w:tcPr>
          <w:p w14:paraId="500CF81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00" w:type="dxa"/>
            <w:shd w:val="clear" w:color="auto" w:fill="auto"/>
            <w:vAlign w:val="bottom"/>
          </w:tcPr>
          <w:p w14:paraId="1C95DE8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60" w:type="dxa"/>
            <w:shd w:val="clear" w:color="auto" w:fill="auto"/>
            <w:vAlign w:val="bottom"/>
          </w:tcPr>
          <w:p w14:paraId="3C868A8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3F2E7C" w:rsidRPr="00E96905" w14:paraId="17CF5F3C" w14:textId="77777777" w:rsidTr="00206464">
        <w:tc>
          <w:tcPr>
            <w:tcW w:w="9870" w:type="dxa"/>
            <w:gridSpan w:val="5"/>
            <w:shd w:val="clear" w:color="auto" w:fill="auto"/>
            <w:vAlign w:val="bottom"/>
          </w:tcPr>
          <w:p w14:paraId="54CB56D7"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rPr>
            </w:pPr>
            <w:r w:rsidRPr="00E96905">
              <w:rPr>
                <w:sz w:val="17"/>
              </w:rPr>
              <w:tab/>
            </w:r>
            <w:r w:rsidRPr="00E96905">
              <w:rPr>
                <w:b/>
                <w:bCs/>
                <w:sz w:val="17"/>
              </w:rPr>
              <w:t>Consultation, advice, and advocacy</w:t>
            </w:r>
            <w:r w:rsidRPr="00E96905">
              <w:rPr>
                <w:sz w:val="17"/>
              </w:rPr>
              <w:t>: advisory services to 15 Member States on urban crisis mitigation and response and on enhancing urban resilience to multi-hazard threats, including crises related to migration and displacement</w:t>
            </w:r>
            <w:r>
              <w:rPr>
                <w:sz w:val="17"/>
              </w:rPr>
              <w:t>.</w:t>
            </w:r>
          </w:p>
        </w:tc>
      </w:tr>
      <w:tr w:rsidR="003F2E7C" w:rsidRPr="00E96905" w14:paraId="65499663" w14:textId="77777777" w:rsidTr="00206464">
        <w:tc>
          <w:tcPr>
            <w:tcW w:w="6192" w:type="dxa"/>
            <w:shd w:val="clear" w:color="auto" w:fill="auto"/>
            <w:vAlign w:val="bottom"/>
          </w:tcPr>
          <w:p w14:paraId="09852E35"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b/>
                <w:bCs/>
                <w:sz w:val="17"/>
              </w:rPr>
            </w:pPr>
            <w:r w:rsidRPr="00E96905">
              <w:rPr>
                <w:b/>
                <w:bCs/>
                <w:sz w:val="17"/>
              </w:rPr>
              <w:t>D.</w:t>
            </w:r>
            <w:r w:rsidRPr="00E96905">
              <w:rPr>
                <w:b/>
                <w:bCs/>
                <w:sz w:val="17"/>
              </w:rPr>
              <w:tab/>
              <w:t>Communication deliverables</w:t>
            </w:r>
          </w:p>
        </w:tc>
        <w:tc>
          <w:tcPr>
            <w:tcW w:w="909" w:type="dxa"/>
            <w:shd w:val="clear" w:color="auto" w:fill="auto"/>
            <w:vAlign w:val="bottom"/>
          </w:tcPr>
          <w:p w14:paraId="554A5D9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09" w:type="dxa"/>
            <w:shd w:val="clear" w:color="auto" w:fill="auto"/>
            <w:vAlign w:val="bottom"/>
          </w:tcPr>
          <w:p w14:paraId="20F4C4B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00" w:type="dxa"/>
            <w:shd w:val="clear" w:color="auto" w:fill="auto"/>
            <w:vAlign w:val="bottom"/>
          </w:tcPr>
          <w:p w14:paraId="692A908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c>
          <w:tcPr>
            <w:tcW w:w="960" w:type="dxa"/>
            <w:shd w:val="clear" w:color="auto" w:fill="auto"/>
            <w:vAlign w:val="bottom"/>
          </w:tcPr>
          <w:p w14:paraId="20F800F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p>
        </w:tc>
      </w:tr>
      <w:tr w:rsidR="003F2E7C" w:rsidRPr="00E96905" w14:paraId="56095A60" w14:textId="77777777" w:rsidTr="00206464">
        <w:tc>
          <w:tcPr>
            <w:tcW w:w="9870" w:type="dxa"/>
            <w:gridSpan w:val="5"/>
            <w:shd w:val="clear" w:color="auto" w:fill="auto"/>
            <w:vAlign w:val="bottom"/>
          </w:tcPr>
          <w:p w14:paraId="531B369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rPr>
            </w:pPr>
            <w:r w:rsidRPr="00E96905">
              <w:rPr>
                <w:sz w:val="17"/>
              </w:rPr>
              <w:tab/>
            </w:r>
            <w:r w:rsidRPr="00E96905">
              <w:rPr>
                <w:b/>
                <w:bCs/>
                <w:sz w:val="17"/>
              </w:rPr>
              <w:t>Outreach programmes, special events and information materials</w:t>
            </w:r>
            <w:r w:rsidRPr="00E96905">
              <w:rPr>
                <w:sz w:val="17"/>
              </w:rPr>
              <w:t>: brochures, campaigns and events on inclusion in cities, social cohesion, resilience-building, access to adequate housing, land tenure security, basic urban services and economic opportunities for all in urban crisis contexts</w:t>
            </w:r>
            <w:r>
              <w:rPr>
                <w:sz w:val="17"/>
              </w:rPr>
              <w:t>.</w:t>
            </w:r>
          </w:p>
        </w:tc>
      </w:tr>
      <w:tr w:rsidR="003F2E7C" w:rsidRPr="00E96905" w14:paraId="1C28B85A" w14:textId="77777777" w:rsidTr="00206464">
        <w:tc>
          <w:tcPr>
            <w:tcW w:w="9870" w:type="dxa"/>
            <w:gridSpan w:val="5"/>
            <w:tcBorders>
              <w:bottom w:val="single" w:sz="12" w:space="0" w:color="auto"/>
            </w:tcBorders>
            <w:shd w:val="clear" w:color="auto" w:fill="auto"/>
            <w:vAlign w:val="bottom"/>
          </w:tcPr>
          <w:p w14:paraId="3FDCFED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288" w:right="43" w:hanging="288"/>
              <w:jc w:val="left"/>
              <w:rPr>
                <w:sz w:val="17"/>
              </w:rPr>
            </w:pPr>
            <w:r w:rsidRPr="00E96905">
              <w:rPr>
                <w:sz w:val="17"/>
              </w:rPr>
              <w:tab/>
            </w:r>
            <w:r w:rsidRPr="00E96905">
              <w:rPr>
                <w:b/>
                <w:bCs/>
                <w:sz w:val="17"/>
              </w:rPr>
              <w:t>Digital platforms and multimedia content</w:t>
            </w:r>
            <w:r w:rsidRPr="00E96905">
              <w:rPr>
                <w:sz w:val="17"/>
              </w:rPr>
              <w:t>: providing content for and maintaining social media accounts (Twitter, Facebook, Instagram, Trello, LinkedIn, YouTube or similar), blogs and websites will advance the subprogramme’s messaging and communication with regard to the social and economic inclusion of migrants, refugees, internally displaced persons and returnees in urban crisis contexts; messages and multimedia content will be shared through six partners, including Cities Alliance, the Centre for Mediterranean Integration, the global networks for the implementation of the global compact for refugees and the Global Compact for Safe, Orderly and Regular Migration, and the Global Knowledge Partnership on Migration and Development</w:t>
            </w:r>
            <w:r>
              <w:rPr>
                <w:sz w:val="17"/>
              </w:rPr>
              <w:t>.</w:t>
            </w:r>
            <w:r w:rsidRPr="00E96905">
              <w:rPr>
                <w:sz w:val="17"/>
              </w:rPr>
              <w:t xml:space="preserve"> </w:t>
            </w:r>
          </w:p>
        </w:tc>
      </w:tr>
    </w:tbl>
    <w:p w14:paraId="6135040C" w14:textId="77777777" w:rsidR="003F2E7C" w:rsidRPr="00E96905" w:rsidRDefault="003F2E7C" w:rsidP="003F2E7C">
      <w:pPr>
        <w:pStyle w:val="SingleTxt"/>
        <w:spacing w:after="0" w:line="120" w:lineRule="exact"/>
        <w:rPr>
          <w:sz w:val="10"/>
        </w:rPr>
      </w:pPr>
    </w:p>
    <w:p w14:paraId="49E938C5" w14:textId="77777777" w:rsidR="003F2E7C" w:rsidRPr="00E96905" w:rsidRDefault="003F2E7C" w:rsidP="003F2E7C">
      <w:pPr>
        <w:pStyle w:val="FootnoteText"/>
        <w:tabs>
          <w:tab w:val="clear" w:pos="418"/>
          <w:tab w:val="right" w:pos="216"/>
          <w:tab w:val="left" w:pos="288"/>
          <w:tab w:val="right" w:pos="576"/>
          <w:tab w:val="left" w:pos="648"/>
        </w:tabs>
        <w:ind w:left="288" w:hanging="288"/>
      </w:pPr>
      <w:r w:rsidRPr="00E96905">
        <w:tab/>
      </w:r>
      <w:r w:rsidRPr="00E96905">
        <w:rPr>
          <w:i/>
          <w:iCs/>
          <w:vertAlign w:val="superscript"/>
        </w:rPr>
        <w:t>a</w:t>
      </w:r>
      <w:r w:rsidRPr="00E96905">
        <w:tab/>
        <w:t>The 2022 planned deliverables, to be funded from the Foundation non-earmarked fund, have been adjusted downward, taking into account the resources approved by the Executive Board of $10.0 million for 2021 and a budget ceiling figure of $12.0</w:t>
      </w:r>
      <w:r>
        <w:t> </w:t>
      </w:r>
      <w:r w:rsidRPr="00E96905">
        <w:t>million in 2022, as shown in table 15.14.</w:t>
      </w:r>
    </w:p>
    <w:p w14:paraId="1333B370" w14:textId="77777777" w:rsidR="003F2E7C" w:rsidRPr="00E96905" w:rsidRDefault="003F2E7C" w:rsidP="003F2E7C">
      <w:pPr>
        <w:pStyle w:val="SingleTxt"/>
        <w:spacing w:after="0" w:line="120" w:lineRule="exact"/>
        <w:rPr>
          <w:sz w:val="10"/>
        </w:rPr>
      </w:pPr>
    </w:p>
    <w:p w14:paraId="4177894F" w14:textId="77777777" w:rsidR="003F2E7C" w:rsidRPr="00E96905" w:rsidRDefault="003F2E7C" w:rsidP="003F2E7C">
      <w:pPr>
        <w:pStyle w:val="SingleTxt"/>
        <w:spacing w:after="0" w:line="120" w:lineRule="exact"/>
        <w:rPr>
          <w:sz w:val="10"/>
        </w:rPr>
      </w:pPr>
    </w:p>
    <w:p w14:paraId="21DB6954" w14:textId="77777777" w:rsidR="003F2E7C" w:rsidRPr="00E96905" w:rsidRDefault="003F2E7C" w:rsidP="003F2E7C">
      <w:pPr>
        <w:pStyle w:val="SingleTxt"/>
        <w:spacing w:after="0" w:line="120" w:lineRule="exact"/>
        <w:rPr>
          <w:sz w:val="10"/>
        </w:rPr>
      </w:pPr>
    </w:p>
    <w:p w14:paraId="796475E2" w14:textId="77777777" w:rsidR="003F2E7C" w:rsidRPr="00E96905" w:rsidRDefault="003F2E7C" w:rsidP="003F2E7C">
      <w:pPr>
        <w:suppressAutoHyphens w:val="0"/>
        <w:spacing w:after="200" w:line="276" w:lineRule="auto"/>
        <w:rPr>
          <w:b/>
          <w:sz w:val="24"/>
        </w:rPr>
      </w:pPr>
      <w:r w:rsidRPr="00E96905">
        <w:br w:type="page"/>
      </w:r>
    </w:p>
    <w:p w14:paraId="1E0B4C0D" w14:textId="77777777" w:rsidR="003F2E7C" w:rsidRPr="00E96905" w:rsidRDefault="003F2E7C" w:rsidP="003F2E7C">
      <w:pPr>
        <w:pStyle w:val="HCh"/>
        <w:ind w:left="1267" w:right="1260" w:hanging="1267"/>
      </w:pPr>
      <w:r w:rsidRPr="00E96905">
        <w:lastRenderedPageBreak/>
        <w:tab/>
        <w:t>B.</w:t>
      </w:r>
      <w:r w:rsidRPr="00E96905">
        <w:tab/>
        <w:t>Proposed post and non-post resource requirements for 2022</w:t>
      </w:r>
    </w:p>
    <w:p w14:paraId="32714665" w14:textId="77777777" w:rsidR="003F2E7C" w:rsidRPr="00E96905" w:rsidRDefault="003F2E7C" w:rsidP="003F2E7C">
      <w:pPr>
        <w:pStyle w:val="SingleTxt"/>
        <w:spacing w:after="0" w:line="120" w:lineRule="exact"/>
        <w:rPr>
          <w:sz w:val="10"/>
        </w:rPr>
      </w:pPr>
    </w:p>
    <w:p w14:paraId="3EA668F5" w14:textId="77777777" w:rsidR="003F2E7C" w:rsidRPr="00E96905" w:rsidRDefault="003F2E7C" w:rsidP="003F2E7C">
      <w:pPr>
        <w:pStyle w:val="SingleTxt"/>
        <w:spacing w:after="0" w:line="120" w:lineRule="exact"/>
        <w:rPr>
          <w:sz w:val="10"/>
        </w:rPr>
      </w:pPr>
    </w:p>
    <w:p w14:paraId="111557CC" w14:textId="77777777" w:rsidR="003F2E7C" w:rsidRPr="00E96905" w:rsidRDefault="003F2E7C" w:rsidP="003F2E7C">
      <w:pPr>
        <w:pStyle w:val="H1"/>
        <w:ind w:right="1260"/>
      </w:pPr>
      <w:r w:rsidRPr="00E96905">
        <w:tab/>
      </w:r>
      <w:r w:rsidRPr="00E96905">
        <w:tab/>
        <w:t xml:space="preserve">Overview </w:t>
      </w:r>
    </w:p>
    <w:p w14:paraId="7AD5E9F3" w14:textId="77777777" w:rsidR="003F2E7C" w:rsidRPr="00E96905" w:rsidRDefault="003F2E7C" w:rsidP="003F2E7C">
      <w:pPr>
        <w:pStyle w:val="SingleTxt"/>
        <w:spacing w:after="0" w:line="120" w:lineRule="exact"/>
        <w:rPr>
          <w:sz w:val="10"/>
        </w:rPr>
      </w:pPr>
    </w:p>
    <w:p w14:paraId="7B7CFBFF" w14:textId="77777777" w:rsidR="003F2E7C" w:rsidRPr="00E96905" w:rsidRDefault="003F2E7C" w:rsidP="003F2E7C">
      <w:pPr>
        <w:pStyle w:val="SingleTxt"/>
        <w:spacing w:after="0" w:line="120" w:lineRule="exact"/>
        <w:rPr>
          <w:sz w:val="10"/>
        </w:rPr>
      </w:pPr>
    </w:p>
    <w:p w14:paraId="04DC550F" w14:textId="77777777" w:rsidR="003F2E7C" w:rsidRPr="00E96905" w:rsidRDefault="003F2E7C" w:rsidP="003F2E7C">
      <w:pPr>
        <w:framePr w:w="9792" w:h="432" w:hSpace="180" w:wrap="notBeside" w:hAnchor="page" w:x="1210" w:yAlign="bottom"/>
        <w:spacing w:line="240" w:lineRule="auto"/>
        <w:rPr>
          <w:sz w:val="2"/>
        </w:rPr>
      </w:pPr>
      <w:r w:rsidRPr="00E96905">
        <w:rPr>
          <w:noProof/>
          <w:w w:val="100"/>
          <w:sz w:val="2"/>
        </w:rPr>
        <mc:AlternateContent>
          <mc:Choice Requires="wps">
            <w:drawing>
              <wp:anchor distT="0" distB="0" distL="114300" distR="114300" simplePos="0" relativeHeight="251661312" behindDoc="0" locked="0" layoutInCell="1" allowOverlap="1" wp14:anchorId="1288C687" wp14:editId="2434F758">
                <wp:simplePos x="0" y="0"/>
                <wp:positionH relativeFrom="page">
                  <wp:posOffset>639445</wp:posOffset>
                </wp:positionH>
                <wp:positionV relativeFrom="paragraph">
                  <wp:posOffset>-12700</wp:posOffset>
                </wp:positionV>
                <wp:extent cx="9144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D664FA" id="Straight Connector 5" o:spid="_x0000_s1026" style="position:absolute;z-index:251661312;visibility:visible;mso-wrap-style:square;mso-wrap-distance-left:9pt;mso-wrap-distance-top:0;mso-wrap-distance-right:9pt;mso-wrap-distance-bottom:0;mso-position-horizontal:absolute;mso-position-horizontal-relative:page;mso-position-vertical:absolute;mso-position-vertical-relative:text" from="50.35pt,-1pt" to="1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" strokecolor="#010000" strokeweight=".25pt">
                <w10:wrap anchorx="page"/>
              </v:line>
            </w:pict>
          </mc:Fallback>
        </mc:AlternateContent>
      </w:r>
    </w:p>
    <w:p w14:paraId="13B7D7D3" w14:textId="77777777" w:rsidR="003F2E7C" w:rsidRPr="00E96905" w:rsidRDefault="003F2E7C" w:rsidP="00674BD1">
      <w:pPr>
        <w:framePr w:w="9792" w:h="432" w:hSpace="180" w:wrap="notBeside" w:hAnchor="page" w:x="1210" w:yAlign="bottom"/>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123" w:right="576" w:hanging="576"/>
        <w:rPr>
          <w:spacing w:val="5"/>
          <w:w w:val="104"/>
          <w:sz w:val="17"/>
        </w:rPr>
      </w:pPr>
      <w:r w:rsidRPr="00E96905">
        <w:rPr>
          <w:spacing w:val="5"/>
          <w:w w:val="104"/>
          <w:sz w:val="17"/>
        </w:rPr>
        <w:tab/>
      </w:r>
      <w:r w:rsidRPr="00E96905">
        <w:rPr>
          <w:spacing w:val="5"/>
          <w:w w:val="104"/>
          <w:sz w:val="17"/>
        </w:rPr>
        <w:tab/>
      </w:r>
      <w:r w:rsidRPr="00E96905">
        <w:rPr>
          <w:i/>
          <w:iCs/>
          <w:spacing w:val="5"/>
          <w:w w:val="104"/>
          <w:sz w:val="17"/>
        </w:rPr>
        <w:t>Note</w:t>
      </w:r>
      <w:r w:rsidRPr="00E96905">
        <w:rPr>
          <w:spacing w:val="5"/>
          <w:w w:val="104"/>
          <w:sz w:val="17"/>
        </w:rPr>
        <w:t>: The following abbreviations are used in tables and figures: GS (OL), General Service (Other level); (LL)</w:t>
      </w:r>
      <w:r>
        <w:rPr>
          <w:spacing w:val="5"/>
          <w:w w:val="104"/>
          <w:sz w:val="17"/>
        </w:rPr>
        <w:t>,</w:t>
      </w:r>
      <w:r w:rsidRPr="00E96905">
        <w:rPr>
          <w:spacing w:val="5"/>
          <w:w w:val="104"/>
          <w:sz w:val="17"/>
        </w:rPr>
        <w:t xml:space="preserve"> Local level; USG, Under-Secretary-General.</w:t>
      </w:r>
    </w:p>
    <w:p w14:paraId="0EDF760C"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15.129</w:t>
      </w:r>
      <w:r w:rsidRPr="00E96905">
        <w:tab/>
        <w:t xml:space="preserve">The proposed regular budget resources for 2022, including the breakdown of resource changes, as applicable, are reflected in tables 15.11 to 15.13. </w:t>
      </w:r>
    </w:p>
    <w:p w14:paraId="2DC06D46" w14:textId="77777777" w:rsidR="003F2E7C" w:rsidRPr="00E96905" w:rsidRDefault="003F2E7C" w:rsidP="003F2E7C">
      <w:pPr>
        <w:pStyle w:val="SingleTxt"/>
        <w:spacing w:after="0" w:line="120" w:lineRule="exact"/>
        <w:rPr>
          <w:sz w:val="10"/>
        </w:rPr>
      </w:pPr>
    </w:p>
    <w:p w14:paraId="4A2CD1C6" w14:textId="77777777" w:rsidR="003F2E7C" w:rsidRPr="00E96905" w:rsidRDefault="003F2E7C" w:rsidP="003F2E7C">
      <w:r w:rsidRPr="00E96905">
        <w:t>Table 15.11</w:t>
      </w:r>
    </w:p>
    <w:p w14:paraId="34786D60"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Overall: evolution of financial resources by object of expenditure</w:t>
      </w:r>
    </w:p>
    <w:p w14:paraId="0B08CA8E" w14:textId="77777777" w:rsidR="003F2E7C" w:rsidRPr="00E96905" w:rsidRDefault="003F2E7C" w:rsidP="003F2E7C">
      <w:pPr>
        <w:rPr>
          <w:sz w:val="14"/>
          <w:szCs w:val="14"/>
        </w:rPr>
      </w:pPr>
      <w:r w:rsidRPr="00E96905">
        <w:rPr>
          <w:sz w:val="14"/>
          <w:szCs w:val="14"/>
        </w:rPr>
        <w:t>(Thousands of United States dollars)</w:t>
      </w:r>
    </w:p>
    <w:p w14:paraId="6B4F526B" w14:textId="77777777" w:rsidR="003F2E7C" w:rsidRPr="00E96905" w:rsidRDefault="003F2E7C" w:rsidP="003F2E7C">
      <w:pPr>
        <w:pStyle w:val="SingleTxt"/>
        <w:spacing w:after="0" w:line="120" w:lineRule="exact"/>
        <w:rPr>
          <w:sz w:val="10"/>
        </w:rPr>
      </w:pPr>
    </w:p>
    <w:p w14:paraId="5D19D2D9" w14:textId="77777777" w:rsidR="003F2E7C" w:rsidRPr="00E96905" w:rsidRDefault="003F2E7C" w:rsidP="003F2E7C">
      <w:pPr>
        <w:pStyle w:val="SingleTxt"/>
        <w:spacing w:after="0" w:line="120" w:lineRule="exact"/>
        <w:rPr>
          <w:sz w:val="10"/>
        </w:rPr>
      </w:pPr>
    </w:p>
    <w:tbl>
      <w:tblPr>
        <w:tblStyle w:val="TableGrid"/>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53"/>
        <w:gridCol w:w="936"/>
        <w:gridCol w:w="1044"/>
        <w:gridCol w:w="993"/>
        <w:gridCol w:w="994"/>
        <w:gridCol w:w="993"/>
        <w:gridCol w:w="994"/>
        <w:gridCol w:w="994"/>
        <w:gridCol w:w="1001"/>
      </w:tblGrid>
      <w:tr w:rsidR="002D4D92" w:rsidRPr="00E96905" w14:paraId="1A78D4A4" w14:textId="77777777" w:rsidTr="002D4D92">
        <w:trPr>
          <w:tblHeader/>
        </w:trPr>
        <w:tc>
          <w:tcPr>
            <w:tcW w:w="1953" w:type="dxa"/>
            <w:tcBorders>
              <w:top w:val="single" w:sz="4" w:space="0" w:color="auto"/>
            </w:tcBorders>
            <w:shd w:val="clear" w:color="auto" w:fill="auto"/>
            <w:vAlign w:val="bottom"/>
          </w:tcPr>
          <w:p w14:paraId="42BAB1F6"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p>
        </w:tc>
        <w:tc>
          <w:tcPr>
            <w:tcW w:w="936" w:type="dxa"/>
            <w:tcBorders>
              <w:top w:val="single" w:sz="4" w:space="0" w:color="auto"/>
            </w:tcBorders>
            <w:shd w:val="clear" w:color="auto" w:fill="auto"/>
            <w:vAlign w:val="bottom"/>
          </w:tcPr>
          <w:p w14:paraId="0F4A1020"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c>
          <w:tcPr>
            <w:tcW w:w="1044" w:type="dxa"/>
            <w:tcBorders>
              <w:top w:val="single" w:sz="4" w:space="0" w:color="auto"/>
            </w:tcBorders>
            <w:shd w:val="clear" w:color="auto" w:fill="auto"/>
            <w:vAlign w:val="bottom"/>
          </w:tcPr>
          <w:p w14:paraId="2759425D"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 xml:space="preserve"> </w:t>
            </w:r>
          </w:p>
        </w:tc>
        <w:tc>
          <w:tcPr>
            <w:tcW w:w="4968" w:type="dxa"/>
            <w:gridSpan w:val="5"/>
            <w:tcBorders>
              <w:top w:val="single" w:sz="4" w:space="0" w:color="auto"/>
              <w:bottom w:val="single" w:sz="4" w:space="0" w:color="auto"/>
            </w:tcBorders>
            <w:shd w:val="clear" w:color="auto" w:fill="auto"/>
            <w:vAlign w:val="bottom"/>
          </w:tcPr>
          <w:p w14:paraId="2653C01B"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center"/>
              <w:rPr>
                <w:i/>
                <w:sz w:val="14"/>
              </w:rPr>
            </w:pPr>
            <w:r w:rsidRPr="00E96905">
              <w:rPr>
                <w:i/>
                <w:sz w:val="14"/>
              </w:rPr>
              <w:t>Changes</w:t>
            </w:r>
          </w:p>
        </w:tc>
        <w:tc>
          <w:tcPr>
            <w:tcW w:w="1001" w:type="dxa"/>
            <w:vMerge w:val="restart"/>
            <w:tcBorders>
              <w:top w:val="single" w:sz="4" w:space="0" w:color="auto"/>
            </w:tcBorders>
            <w:shd w:val="clear" w:color="auto" w:fill="auto"/>
            <w:vAlign w:val="bottom"/>
          </w:tcPr>
          <w:p w14:paraId="75FD88DF" w14:textId="6B745614" w:rsidR="002D4D92" w:rsidRPr="00E96905" w:rsidRDefault="002D4D92" w:rsidP="00206464">
            <w:pPr>
              <w:pStyle w:val="SingleTxt"/>
              <w:spacing w:before="81" w:after="81" w:line="160" w:lineRule="exact"/>
              <w:ind w:left="144" w:right="40"/>
              <w:jc w:val="right"/>
              <w:rPr>
                <w:i/>
                <w:sz w:val="14"/>
              </w:rPr>
            </w:pPr>
            <w:r w:rsidRPr="00E96905">
              <w:rPr>
                <w:i/>
                <w:sz w:val="14"/>
              </w:rPr>
              <w:t>2022 estimate (before recosting)</w:t>
            </w:r>
          </w:p>
        </w:tc>
      </w:tr>
      <w:tr w:rsidR="002D4D92" w:rsidRPr="00E96905" w14:paraId="52DE5577" w14:textId="77777777" w:rsidTr="002D4D92">
        <w:trPr>
          <w:tblHeader/>
        </w:trPr>
        <w:tc>
          <w:tcPr>
            <w:tcW w:w="1953" w:type="dxa"/>
            <w:tcBorders>
              <w:bottom w:val="single" w:sz="12" w:space="0" w:color="auto"/>
            </w:tcBorders>
            <w:shd w:val="clear" w:color="auto" w:fill="auto"/>
            <w:vAlign w:val="bottom"/>
          </w:tcPr>
          <w:p w14:paraId="28825459"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0"/>
              <w:jc w:val="left"/>
              <w:rPr>
                <w:i/>
                <w:sz w:val="14"/>
              </w:rPr>
            </w:pPr>
            <w:r w:rsidRPr="00E96905">
              <w:rPr>
                <w:i/>
                <w:sz w:val="14"/>
              </w:rPr>
              <w:t>Object of expenditure</w:t>
            </w:r>
          </w:p>
        </w:tc>
        <w:tc>
          <w:tcPr>
            <w:tcW w:w="936" w:type="dxa"/>
            <w:tcBorders>
              <w:bottom w:val="single" w:sz="12" w:space="0" w:color="auto"/>
            </w:tcBorders>
            <w:shd w:val="clear" w:color="auto" w:fill="auto"/>
            <w:vAlign w:val="bottom"/>
          </w:tcPr>
          <w:p w14:paraId="2AEA99B9"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2020 expenditure</w:t>
            </w:r>
          </w:p>
        </w:tc>
        <w:tc>
          <w:tcPr>
            <w:tcW w:w="1044" w:type="dxa"/>
            <w:tcBorders>
              <w:bottom w:val="single" w:sz="12" w:space="0" w:color="auto"/>
            </w:tcBorders>
            <w:shd w:val="clear" w:color="auto" w:fill="auto"/>
            <w:vAlign w:val="bottom"/>
          </w:tcPr>
          <w:p w14:paraId="05181B50"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2021 appropriation</w:t>
            </w:r>
          </w:p>
        </w:tc>
        <w:tc>
          <w:tcPr>
            <w:tcW w:w="993" w:type="dxa"/>
            <w:tcBorders>
              <w:top w:val="single" w:sz="4" w:space="0" w:color="auto"/>
              <w:bottom w:val="single" w:sz="12" w:space="0" w:color="auto"/>
            </w:tcBorders>
            <w:shd w:val="clear" w:color="auto" w:fill="auto"/>
            <w:vAlign w:val="bottom"/>
          </w:tcPr>
          <w:p w14:paraId="08DC7C05"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Technical adjustments</w:t>
            </w:r>
          </w:p>
        </w:tc>
        <w:tc>
          <w:tcPr>
            <w:tcW w:w="994" w:type="dxa"/>
            <w:tcBorders>
              <w:top w:val="single" w:sz="4" w:space="0" w:color="auto"/>
              <w:bottom w:val="single" w:sz="12" w:space="0" w:color="auto"/>
            </w:tcBorders>
            <w:shd w:val="clear" w:color="auto" w:fill="auto"/>
            <w:vAlign w:val="bottom"/>
          </w:tcPr>
          <w:p w14:paraId="49CAD21B" w14:textId="77777777" w:rsidR="002D4D92" w:rsidRDefault="002D4D92" w:rsidP="002D4D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144" w:right="40"/>
              <w:jc w:val="right"/>
              <w:rPr>
                <w:i/>
                <w:sz w:val="14"/>
              </w:rPr>
            </w:pPr>
            <w:r w:rsidRPr="00E96905">
              <w:rPr>
                <w:i/>
                <w:sz w:val="14"/>
              </w:rPr>
              <w:t>New/</w:t>
            </w:r>
          </w:p>
          <w:p w14:paraId="0D8E88E3" w14:textId="04EB3DE3" w:rsidR="002D4D92" w:rsidRPr="00E96905" w:rsidRDefault="002D4D92" w:rsidP="002D4D92">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144" w:right="40"/>
              <w:jc w:val="right"/>
              <w:rPr>
                <w:i/>
                <w:sz w:val="14"/>
              </w:rPr>
            </w:pPr>
            <w:r w:rsidRPr="00E96905">
              <w:rPr>
                <w:i/>
                <w:sz w:val="14"/>
              </w:rPr>
              <w:t>expanded mandates</w:t>
            </w:r>
          </w:p>
        </w:tc>
        <w:tc>
          <w:tcPr>
            <w:tcW w:w="993" w:type="dxa"/>
            <w:tcBorders>
              <w:top w:val="single" w:sz="4" w:space="0" w:color="auto"/>
              <w:bottom w:val="single" w:sz="12" w:space="0" w:color="auto"/>
            </w:tcBorders>
            <w:shd w:val="clear" w:color="auto" w:fill="auto"/>
            <w:vAlign w:val="bottom"/>
          </w:tcPr>
          <w:p w14:paraId="3026215E"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Other</w:t>
            </w:r>
          </w:p>
        </w:tc>
        <w:tc>
          <w:tcPr>
            <w:tcW w:w="994" w:type="dxa"/>
            <w:tcBorders>
              <w:top w:val="single" w:sz="4" w:space="0" w:color="auto"/>
              <w:bottom w:val="single" w:sz="12" w:space="0" w:color="auto"/>
            </w:tcBorders>
            <w:shd w:val="clear" w:color="auto" w:fill="auto"/>
            <w:vAlign w:val="bottom"/>
          </w:tcPr>
          <w:p w14:paraId="41DACFC4"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Total</w:t>
            </w:r>
          </w:p>
        </w:tc>
        <w:tc>
          <w:tcPr>
            <w:tcW w:w="994" w:type="dxa"/>
            <w:tcBorders>
              <w:top w:val="single" w:sz="4" w:space="0" w:color="auto"/>
              <w:bottom w:val="single" w:sz="12" w:space="0" w:color="auto"/>
            </w:tcBorders>
            <w:shd w:val="clear" w:color="auto" w:fill="auto"/>
            <w:vAlign w:val="bottom"/>
          </w:tcPr>
          <w:p w14:paraId="02616A06" w14:textId="77777777"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r w:rsidRPr="00E96905">
              <w:rPr>
                <w:i/>
                <w:sz w:val="14"/>
              </w:rPr>
              <w:t>Percentage</w:t>
            </w:r>
          </w:p>
        </w:tc>
        <w:tc>
          <w:tcPr>
            <w:tcW w:w="1001" w:type="dxa"/>
            <w:vMerge/>
            <w:tcBorders>
              <w:bottom w:val="single" w:sz="12" w:space="0" w:color="auto"/>
            </w:tcBorders>
            <w:shd w:val="clear" w:color="auto" w:fill="auto"/>
            <w:vAlign w:val="bottom"/>
          </w:tcPr>
          <w:p w14:paraId="6E2D1728" w14:textId="3073F46A" w:rsidR="002D4D92" w:rsidRPr="00E96905" w:rsidRDefault="002D4D92"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144" w:right="40"/>
              <w:jc w:val="right"/>
              <w:rPr>
                <w:i/>
                <w:sz w:val="14"/>
              </w:rPr>
            </w:pPr>
          </w:p>
        </w:tc>
      </w:tr>
      <w:tr w:rsidR="003F2E7C" w:rsidRPr="00E96905" w14:paraId="0893E5AC" w14:textId="77777777" w:rsidTr="002D4D92">
        <w:trPr>
          <w:trHeight w:hRule="exact" w:val="115"/>
          <w:tblHeader/>
        </w:trPr>
        <w:tc>
          <w:tcPr>
            <w:tcW w:w="1953" w:type="dxa"/>
            <w:tcBorders>
              <w:top w:val="single" w:sz="12" w:space="0" w:color="auto"/>
            </w:tcBorders>
            <w:shd w:val="clear" w:color="auto" w:fill="auto"/>
            <w:vAlign w:val="bottom"/>
          </w:tcPr>
          <w:p w14:paraId="3681916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jc w:val="left"/>
              <w:rPr>
                <w:sz w:val="17"/>
              </w:rPr>
            </w:pPr>
          </w:p>
        </w:tc>
        <w:tc>
          <w:tcPr>
            <w:tcW w:w="936" w:type="dxa"/>
            <w:tcBorders>
              <w:top w:val="single" w:sz="12" w:space="0" w:color="auto"/>
            </w:tcBorders>
            <w:shd w:val="clear" w:color="auto" w:fill="auto"/>
            <w:vAlign w:val="bottom"/>
          </w:tcPr>
          <w:p w14:paraId="23B491E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44" w:type="dxa"/>
            <w:tcBorders>
              <w:top w:val="single" w:sz="12" w:space="0" w:color="auto"/>
            </w:tcBorders>
            <w:shd w:val="clear" w:color="auto" w:fill="auto"/>
            <w:vAlign w:val="bottom"/>
          </w:tcPr>
          <w:p w14:paraId="614D670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3" w:type="dxa"/>
            <w:tcBorders>
              <w:top w:val="single" w:sz="12" w:space="0" w:color="auto"/>
            </w:tcBorders>
            <w:shd w:val="clear" w:color="auto" w:fill="auto"/>
            <w:vAlign w:val="bottom"/>
          </w:tcPr>
          <w:p w14:paraId="7176BF9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4" w:type="dxa"/>
            <w:tcBorders>
              <w:top w:val="single" w:sz="12" w:space="0" w:color="auto"/>
            </w:tcBorders>
            <w:shd w:val="clear" w:color="auto" w:fill="auto"/>
            <w:vAlign w:val="bottom"/>
          </w:tcPr>
          <w:p w14:paraId="73A1500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3" w:type="dxa"/>
            <w:tcBorders>
              <w:top w:val="single" w:sz="12" w:space="0" w:color="auto"/>
            </w:tcBorders>
            <w:shd w:val="clear" w:color="auto" w:fill="auto"/>
            <w:vAlign w:val="bottom"/>
          </w:tcPr>
          <w:p w14:paraId="0E884210"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4" w:type="dxa"/>
            <w:tcBorders>
              <w:top w:val="single" w:sz="12" w:space="0" w:color="auto"/>
            </w:tcBorders>
            <w:shd w:val="clear" w:color="auto" w:fill="auto"/>
            <w:vAlign w:val="bottom"/>
          </w:tcPr>
          <w:p w14:paraId="1C5B1CB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994" w:type="dxa"/>
            <w:tcBorders>
              <w:top w:val="single" w:sz="12" w:space="0" w:color="auto"/>
            </w:tcBorders>
            <w:shd w:val="clear" w:color="auto" w:fill="auto"/>
            <w:vAlign w:val="bottom"/>
          </w:tcPr>
          <w:p w14:paraId="6E69FF4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001" w:type="dxa"/>
            <w:tcBorders>
              <w:top w:val="single" w:sz="12" w:space="0" w:color="auto"/>
            </w:tcBorders>
            <w:shd w:val="clear" w:color="auto" w:fill="auto"/>
            <w:vAlign w:val="bottom"/>
          </w:tcPr>
          <w:p w14:paraId="7372723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3F2E7C" w:rsidRPr="00E96905" w14:paraId="54CD1EB5" w14:textId="77777777" w:rsidTr="002D4D92">
        <w:tc>
          <w:tcPr>
            <w:tcW w:w="1953" w:type="dxa"/>
            <w:shd w:val="clear" w:color="auto" w:fill="auto"/>
            <w:vAlign w:val="bottom"/>
          </w:tcPr>
          <w:p w14:paraId="2CDEB48D"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 xml:space="preserve">Post </w:t>
            </w:r>
          </w:p>
        </w:tc>
        <w:tc>
          <w:tcPr>
            <w:tcW w:w="936" w:type="dxa"/>
            <w:shd w:val="clear" w:color="auto" w:fill="auto"/>
            <w:vAlign w:val="bottom"/>
          </w:tcPr>
          <w:p w14:paraId="76C1607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10 999.0 </w:t>
            </w:r>
          </w:p>
        </w:tc>
        <w:tc>
          <w:tcPr>
            <w:tcW w:w="1044" w:type="dxa"/>
            <w:shd w:val="clear" w:color="auto" w:fill="auto"/>
            <w:vAlign w:val="bottom"/>
          </w:tcPr>
          <w:p w14:paraId="739F580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11 285.5 </w:t>
            </w:r>
          </w:p>
        </w:tc>
        <w:tc>
          <w:tcPr>
            <w:tcW w:w="993" w:type="dxa"/>
            <w:shd w:val="clear" w:color="auto" w:fill="auto"/>
            <w:vAlign w:val="bottom"/>
          </w:tcPr>
          <w:p w14:paraId="4300DC6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196.2 </w:t>
            </w:r>
          </w:p>
        </w:tc>
        <w:tc>
          <w:tcPr>
            <w:tcW w:w="994" w:type="dxa"/>
            <w:shd w:val="clear" w:color="auto" w:fill="auto"/>
            <w:vAlign w:val="bottom"/>
          </w:tcPr>
          <w:p w14:paraId="13156AB7"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3" w:type="dxa"/>
            <w:shd w:val="clear" w:color="auto" w:fill="auto"/>
            <w:vAlign w:val="bottom"/>
          </w:tcPr>
          <w:p w14:paraId="37ABA08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4E3A682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196.2 </w:t>
            </w:r>
          </w:p>
        </w:tc>
        <w:tc>
          <w:tcPr>
            <w:tcW w:w="994" w:type="dxa"/>
            <w:shd w:val="clear" w:color="auto" w:fill="auto"/>
            <w:vAlign w:val="bottom"/>
          </w:tcPr>
          <w:p w14:paraId="31B9BB5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1.7 </w:t>
            </w:r>
          </w:p>
        </w:tc>
        <w:tc>
          <w:tcPr>
            <w:tcW w:w="1001" w:type="dxa"/>
            <w:shd w:val="clear" w:color="auto" w:fill="auto"/>
            <w:vAlign w:val="bottom"/>
          </w:tcPr>
          <w:p w14:paraId="3D53D98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11 481.7 </w:t>
            </w:r>
          </w:p>
        </w:tc>
      </w:tr>
      <w:tr w:rsidR="003F2E7C" w:rsidRPr="00E96905" w14:paraId="0FA17F72" w14:textId="77777777" w:rsidTr="002D4D92">
        <w:tc>
          <w:tcPr>
            <w:tcW w:w="1953" w:type="dxa"/>
            <w:shd w:val="clear" w:color="auto" w:fill="auto"/>
            <w:vAlign w:val="bottom"/>
          </w:tcPr>
          <w:p w14:paraId="5C1FD99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 xml:space="preserve">Other staff costs </w:t>
            </w:r>
          </w:p>
        </w:tc>
        <w:tc>
          <w:tcPr>
            <w:tcW w:w="936" w:type="dxa"/>
            <w:shd w:val="clear" w:color="auto" w:fill="auto"/>
            <w:vAlign w:val="bottom"/>
          </w:tcPr>
          <w:p w14:paraId="4CEBA63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180.4 </w:t>
            </w:r>
          </w:p>
        </w:tc>
        <w:tc>
          <w:tcPr>
            <w:tcW w:w="1044" w:type="dxa"/>
            <w:shd w:val="clear" w:color="auto" w:fill="auto"/>
            <w:vAlign w:val="bottom"/>
          </w:tcPr>
          <w:p w14:paraId="07553BF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288.5 </w:t>
            </w:r>
          </w:p>
        </w:tc>
        <w:tc>
          <w:tcPr>
            <w:tcW w:w="993" w:type="dxa"/>
            <w:shd w:val="clear" w:color="auto" w:fill="auto"/>
            <w:vAlign w:val="bottom"/>
          </w:tcPr>
          <w:p w14:paraId="6BEA495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160CB44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230.0 </w:t>
            </w:r>
          </w:p>
        </w:tc>
        <w:tc>
          <w:tcPr>
            <w:tcW w:w="993" w:type="dxa"/>
            <w:shd w:val="clear" w:color="auto" w:fill="auto"/>
            <w:vAlign w:val="bottom"/>
          </w:tcPr>
          <w:p w14:paraId="006CAC4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5.0 </w:t>
            </w:r>
          </w:p>
        </w:tc>
        <w:tc>
          <w:tcPr>
            <w:tcW w:w="994" w:type="dxa"/>
            <w:shd w:val="clear" w:color="auto" w:fill="auto"/>
            <w:vAlign w:val="bottom"/>
          </w:tcPr>
          <w:p w14:paraId="641A319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235.0 </w:t>
            </w:r>
          </w:p>
        </w:tc>
        <w:tc>
          <w:tcPr>
            <w:tcW w:w="994" w:type="dxa"/>
            <w:shd w:val="clear" w:color="auto" w:fill="auto"/>
            <w:vAlign w:val="bottom"/>
          </w:tcPr>
          <w:p w14:paraId="5BEDCCE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81.5 </w:t>
            </w:r>
          </w:p>
        </w:tc>
        <w:tc>
          <w:tcPr>
            <w:tcW w:w="1001" w:type="dxa"/>
            <w:shd w:val="clear" w:color="auto" w:fill="auto"/>
            <w:vAlign w:val="bottom"/>
          </w:tcPr>
          <w:p w14:paraId="4CDB2ED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523.5 </w:t>
            </w:r>
          </w:p>
        </w:tc>
      </w:tr>
      <w:tr w:rsidR="003F2E7C" w:rsidRPr="00E96905" w14:paraId="098CE508" w14:textId="77777777" w:rsidTr="002D4D92">
        <w:tc>
          <w:tcPr>
            <w:tcW w:w="1953" w:type="dxa"/>
            <w:shd w:val="clear" w:color="auto" w:fill="auto"/>
            <w:vAlign w:val="bottom"/>
          </w:tcPr>
          <w:p w14:paraId="41A303D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 xml:space="preserve">Hospitality </w:t>
            </w:r>
          </w:p>
        </w:tc>
        <w:tc>
          <w:tcPr>
            <w:tcW w:w="936" w:type="dxa"/>
            <w:shd w:val="clear" w:color="auto" w:fill="auto"/>
            <w:vAlign w:val="bottom"/>
          </w:tcPr>
          <w:p w14:paraId="25D8321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1044" w:type="dxa"/>
            <w:shd w:val="clear" w:color="auto" w:fill="auto"/>
            <w:vAlign w:val="bottom"/>
          </w:tcPr>
          <w:p w14:paraId="720773E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3.1 </w:t>
            </w:r>
          </w:p>
        </w:tc>
        <w:tc>
          <w:tcPr>
            <w:tcW w:w="993" w:type="dxa"/>
            <w:shd w:val="clear" w:color="auto" w:fill="auto"/>
            <w:vAlign w:val="bottom"/>
          </w:tcPr>
          <w:p w14:paraId="22F637F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5ACCD5E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3" w:type="dxa"/>
            <w:shd w:val="clear" w:color="auto" w:fill="auto"/>
            <w:vAlign w:val="bottom"/>
          </w:tcPr>
          <w:p w14:paraId="7F37692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(0.1)</w:t>
            </w:r>
          </w:p>
        </w:tc>
        <w:tc>
          <w:tcPr>
            <w:tcW w:w="994" w:type="dxa"/>
            <w:shd w:val="clear" w:color="auto" w:fill="auto"/>
            <w:vAlign w:val="bottom"/>
          </w:tcPr>
          <w:p w14:paraId="0BC982F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(0.1)</w:t>
            </w:r>
          </w:p>
        </w:tc>
        <w:tc>
          <w:tcPr>
            <w:tcW w:w="994" w:type="dxa"/>
            <w:shd w:val="clear" w:color="auto" w:fill="auto"/>
            <w:vAlign w:val="bottom"/>
          </w:tcPr>
          <w:p w14:paraId="4CB10A9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(3.2) </w:t>
            </w:r>
          </w:p>
        </w:tc>
        <w:tc>
          <w:tcPr>
            <w:tcW w:w="1001" w:type="dxa"/>
            <w:shd w:val="clear" w:color="auto" w:fill="auto"/>
            <w:vAlign w:val="bottom"/>
          </w:tcPr>
          <w:p w14:paraId="3EEF9DF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3.0 </w:t>
            </w:r>
          </w:p>
        </w:tc>
      </w:tr>
      <w:tr w:rsidR="003F2E7C" w:rsidRPr="00E96905" w14:paraId="2E6AAFDF" w14:textId="77777777" w:rsidTr="002D4D92">
        <w:tc>
          <w:tcPr>
            <w:tcW w:w="1953" w:type="dxa"/>
            <w:shd w:val="clear" w:color="auto" w:fill="auto"/>
            <w:vAlign w:val="bottom"/>
          </w:tcPr>
          <w:p w14:paraId="7D3B098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 xml:space="preserve">Consultants </w:t>
            </w:r>
          </w:p>
        </w:tc>
        <w:tc>
          <w:tcPr>
            <w:tcW w:w="936" w:type="dxa"/>
            <w:shd w:val="clear" w:color="auto" w:fill="auto"/>
            <w:vAlign w:val="bottom"/>
          </w:tcPr>
          <w:p w14:paraId="5CE9143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182.9</w:t>
            </w:r>
          </w:p>
        </w:tc>
        <w:tc>
          <w:tcPr>
            <w:tcW w:w="1044" w:type="dxa"/>
            <w:shd w:val="clear" w:color="auto" w:fill="auto"/>
            <w:vAlign w:val="bottom"/>
          </w:tcPr>
          <w:p w14:paraId="74B8BD1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106.4 </w:t>
            </w:r>
          </w:p>
        </w:tc>
        <w:tc>
          <w:tcPr>
            <w:tcW w:w="993" w:type="dxa"/>
            <w:shd w:val="clear" w:color="auto" w:fill="auto"/>
            <w:vAlign w:val="bottom"/>
          </w:tcPr>
          <w:p w14:paraId="6E3C2AD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15459A5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120.0 </w:t>
            </w:r>
          </w:p>
        </w:tc>
        <w:tc>
          <w:tcPr>
            <w:tcW w:w="993" w:type="dxa"/>
            <w:shd w:val="clear" w:color="auto" w:fill="auto"/>
            <w:vAlign w:val="bottom"/>
          </w:tcPr>
          <w:p w14:paraId="2A3E895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(1.8)</w:t>
            </w:r>
          </w:p>
        </w:tc>
        <w:tc>
          <w:tcPr>
            <w:tcW w:w="994" w:type="dxa"/>
            <w:shd w:val="clear" w:color="auto" w:fill="auto"/>
            <w:vAlign w:val="bottom"/>
          </w:tcPr>
          <w:p w14:paraId="3C26CB7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118.2</w:t>
            </w:r>
          </w:p>
        </w:tc>
        <w:tc>
          <w:tcPr>
            <w:tcW w:w="994" w:type="dxa"/>
            <w:shd w:val="clear" w:color="auto" w:fill="auto"/>
            <w:vAlign w:val="bottom"/>
          </w:tcPr>
          <w:p w14:paraId="37590C7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111.1</w:t>
            </w:r>
          </w:p>
        </w:tc>
        <w:tc>
          <w:tcPr>
            <w:tcW w:w="1001" w:type="dxa"/>
            <w:shd w:val="clear" w:color="auto" w:fill="auto"/>
            <w:vAlign w:val="bottom"/>
          </w:tcPr>
          <w:p w14:paraId="6E4028D0"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224.6 </w:t>
            </w:r>
          </w:p>
        </w:tc>
      </w:tr>
      <w:tr w:rsidR="003F2E7C" w:rsidRPr="00E96905" w14:paraId="3B706ACA" w14:textId="77777777" w:rsidTr="002D4D92">
        <w:tc>
          <w:tcPr>
            <w:tcW w:w="1953" w:type="dxa"/>
            <w:shd w:val="clear" w:color="auto" w:fill="auto"/>
            <w:vAlign w:val="bottom"/>
          </w:tcPr>
          <w:p w14:paraId="4DE9BEAD"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Experts</w:t>
            </w:r>
          </w:p>
        </w:tc>
        <w:tc>
          <w:tcPr>
            <w:tcW w:w="936" w:type="dxa"/>
            <w:shd w:val="clear" w:color="auto" w:fill="auto"/>
            <w:vAlign w:val="bottom"/>
          </w:tcPr>
          <w:p w14:paraId="1B44C35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w:t>
            </w:r>
          </w:p>
        </w:tc>
        <w:tc>
          <w:tcPr>
            <w:tcW w:w="1044" w:type="dxa"/>
            <w:shd w:val="clear" w:color="auto" w:fill="auto"/>
            <w:vAlign w:val="bottom"/>
          </w:tcPr>
          <w:p w14:paraId="3805FDC7"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54.0</w:t>
            </w:r>
          </w:p>
        </w:tc>
        <w:tc>
          <w:tcPr>
            <w:tcW w:w="993" w:type="dxa"/>
            <w:shd w:val="clear" w:color="auto" w:fill="auto"/>
            <w:vAlign w:val="bottom"/>
          </w:tcPr>
          <w:p w14:paraId="58E57EB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w:t>
            </w:r>
          </w:p>
        </w:tc>
        <w:tc>
          <w:tcPr>
            <w:tcW w:w="994" w:type="dxa"/>
            <w:shd w:val="clear" w:color="auto" w:fill="auto"/>
            <w:vAlign w:val="bottom"/>
          </w:tcPr>
          <w:p w14:paraId="773B91B0"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30.0</w:t>
            </w:r>
          </w:p>
        </w:tc>
        <w:tc>
          <w:tcPr>
            <w:tcW w:w="993" w:type="dxa"/>
            <w:shd w:val="clear" w:color="auto" w:fill="auto"/>
            <w:vAlign w:val="bottom"/>
          </w:tcPr>
          <w:p w14:paraId="4351114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w:t>
            </w:r>
          </w:p>
        </w:tc>
        <w:tc>
          <w:tcPr>
            <w:tcW w:w="994" w:type="dxa"/>
            <w:shd w:val="clear" w:color="auto" w:fill="auto"/>
            <w:vAlign w:val="bottom"/>
          </w:tcPr>
          <w:p w14:paraId="181008C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30.0</w:t>
            </w:r>
          </w:p>
        </w:tc>
        <w:tc>
          <w:tcPr>
            <w:tcW w:w="994" w:type="dxa"/>
            <w:shd w:val="clear" w:color="auto" w:fill="auto"/>
            <w:vAlign w:val="bottom"/>
          </w:tcPr>
          <w:p w14:paraId="3A2DF1D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55.6</w:t>
            </w:r>
          </w:p>
        </w:tc>
        <w:tc>
          <w:tcPr>
            <w:tcW w:w="1001" w:type="dxa"/>
            <w:shd w:val="clear" w:color="auto" w:fill="auto"/>
            <w:vAlign w:val="bottom"/>
          </w:tcPr>
          <w:p w14:paraId="0FA4AC3D"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84.0</w:t>
            </w:r>
          </w:p>
        </w:tc>
      </w:tr>
      <w:tr w:rsidR="003F2E7C" w:rsidRPr="00E96905" w14:paraId="7B12CEDE" w14:textId="77777777" w:rsidTr="002D4D92">
        <w:tc>
          <w:tcPr>
            <w:tcW w:w="1953" w:type="dxa"/>
            <w:shd w:val="clear" w:color="auto" w:fill="auto"/>
            <w:vAlign w:val="bottom"/>
          </w:tcPr>
          <w:p w14:paraId="62BD9DE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Travel of representatives</w:t>
            </w:r>
          </w:p>
        </w:tc>
        <w:tc>
          <w:tcPr>
            <w:tcW w:w="936" w:type="dxa"/>
            <w:shd w:val="clear" w:color="auto" w:fill="auto"/>
            <w:vAlign w:val="bottom"/>
          </w:tcPr>
          <w:p w14:paraId="1F605F1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w:t>
            </w:r>
          </w:p>
        </w:tc>
        <w:tc>
          <w:tcPr>
            <w:tcW w:w="1044" w:type="dxa"/>
            <w:shd w:val="clear" w:color="auto" w:fill="auto"/>
            <w:vAlign w:val="bottom"/>
          </w:tcPr>
          <w:p w14:paraId="4F2C0470"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w:t>
            </w:r>
          </w:p>
        </w:tc>
        <w:tc>
          <w:tcPr>
            <w:tcW w:w="993" w:type="dxa"/>
            <w:shd w:val="clear" w:color="auto" w:fill="auto"/>
            <w:vAlign w:val="bottom"/>
          </w:tcPr>
          <w:p w14:paraId="66B320C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w:t>
            </w:r>
          </w:p>
        </w:tc>
        <w:tc>
          <w:tcPr>
            <w:tcW w:w="994" w:type="dxa"/>
            <w:shd w:val="clear" w:color="auto" w:fill="auto"/>
            <w:vAlign w:val="bottom"/>
          </w:tcPr>
          <w:p w14:paraId="00FDD900"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39.9</w:t>
            </w:r>
          </w:p>
        </w:tc>
        <w:tc>
          <w:tcPr>
            <w:tcW w:w="993" w:type="dxa"/>
            <w:shd w:val="clear" w:color="auto" w:fill="auto"/>
            <w:vAlign w:val="bottom"/>
          </w:tcPr>
          <w:p w14:paraId="257A92E5"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w:t>
            </w:r>
          </w:p>
        </w:tc>
        <w:tc>
          <w:tcPr>
            <w:tcW w:w="994" w:type="dxa"/>
            <w:shd w:val="clear" w:color="auto" w:fill="auto"/>
            <w:vAlign w:val="bottom"/>
          </w:tcPr>
          <w:p w14:paraId="6A62100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39.9</w:t>
            </w:r>
          </w:p>
        </w:tc>
        <w:tc>
          <w:tcPr>
            <w:tcW w:w="994" w:type="dxa"/>
            <w:shd w:val="clear" w:color="auto" w:fill="auto"/>
            <w:vAlign w:val="bottom"/>
          </w:tcPr>
          <w:p w14:paraId="4F0D50F7"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w:t>
            </w:r>
          </w:p>
        </w:tc>
        <w:tc>
          <w:tcPr>
            <w:tcW w:w="1001" w:type="dxa"/>
            <w:shd w:val="clear" w:color="auto" w:fill="auto"/>
            <w:vAlign w:val="bottom"/>
          </w:tcPr>
          <w:p w14:paraId="4CE7FE47"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39.9</w:t>
            </w:r>
          </w:p>
        </w:tc>
      </w:tr>
      <w:tr w:rsidR="003F2E7C" w:rsidRPr="00E96905" w14:paraId="15515514" w14:textId="77777777" w:rsidTr="002D4D92">
        <w:tc>
          <w:tcPr>
            <w:tcW w:w="1953" w:type="dxa"/>
            <w:shd w:val="clear" w:color="auto" w:fill="auto"/>
            <w:vAlign w:val="bottom"/>
          </w:tcPr>
          <w:p w14:paraId="1B971C2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 xml:space="preserve">Travel of staff </w:t>
            </w:r>
          </w:p>
        </w:tc>
        <w:tc>
          <w:tcPr>
            <w:tcW w:w="936" w:type="dxa"/>
            <w:shd w:val="clear" w:color="auto" w:fill="auto"/>
            <w:vAlign w:val="bottom"/>
          </w:tcPr>
          <w:p w14:paraId="0F1ECCA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12.8 </w:t>
            </w:r>
          </w:p>
        </w:tc>
        <w:tc>
          <w:tcPr>
            <w:tcW w:w="1044" w:type="dxa"/>
            <w:shd w:val="clear" w:color="auto" w:fill="auto"/>
            <w:vAlign w:val="bottom"/>
          </w:tcPr>
          <w:p w14:paraId="2B9E9C2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94.3 </w:t>
            </w:r>
          </w:p>
        </w:tc>
        <w:tc>
          <w:tcPr>
            <w:tcW w:w="993" w:type="dxa"/>
            <w:shd w:val="clear" w:color="auto" w:fill="auto"/>
            <w:vAlign w:val="bottom"/>
          </w:tcPr>
          <w:p w14:paraId="7EDA654D"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1B6D3DF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10.1</w:t>
            </w:r>
          </w:p>
        </w:tc>
        <w:tc>
          <w:tcPr>
            <w:tcW w:w="993" w:type="dxa"/>
            <w:shd w:val="clear" w:color="auto" w:fill="auto"/>
            <w:vAlign w:val="bottom"/>
          </w:tcPr>
          <w:p w14:paraId="48EE5A3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0.5 </w:t>
            </w:r>
          </w:p>
        </w:tc>
        <w:tc>
          <w:tcPr>
            <w:tcW w:w="994" w:type="dxa"/>
            <w:shd w:val="clear" w:color="auto" w:fill="auto"/>
            <w:vAlign w:val="bottom"/>
          </w:tcPr>
          <w:p w14:paraId="7B088A2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10.6 </w:t>
            </w:r>
          </w:p>
        </w:tc>
        <w:tc>
          <w:tcPr>
            <w:tcW w:w="994" w:type="dxa"/>
            <w:shd w:val="clear" w:color="auto" w:fill="auto"/>
            <w:vAlign w:val="bottom"/>
          </w:tcPr>
          <w:p w14:paraId="11A922F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11.2</w:t>
            </w:r>
          </w:p>
        </w:tc>
        <w:tc>
          <w:tcPr>
            <w:tcW w:w="1001" w:type="dxa"/>
            <w:shd w:val="clear" w:color="auto" w:fill="auto"/>
            <w:vAlign w:val="bottom"/>
          </w:tcPr>
          <w:p w14:paraId="20AFDA2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104.9</w:t>
            </w:r>
          </w:p>
        </w:tc>
      </w:tr>
      <w:tr w:rsidR="003F2E7C" w:rsidRPr="00E96905" w14:paraId="554E75ED" w14:textId="77777777" w:rsidTr="002D4D92">
        <w:tc>
          <w:tcPr>
            <w:tcW w:w="1953" w:type="dxa"/>
            <w:shd w:val="clear" w:color="auto" w:fill="auto"/>
            <w:vAlign w:val="bottom"/>
          </w:tcPr>
          <w:p w14:paraId="6C398F3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 xml:space="preserve">Contractual services </w:t>
            </w:r>
          </w:p>
        </w:tc>
        <w:tc>
          <w:tcPr>
            <w:tcW w:w="936" w:type="dxa"/>
            <w:shd w:val="clear" w:color="auto" w:fill="auto"/>
            <w:vAlign w:val="bottom"/>
          </w:tcPr>
          <w:p w14:paraId="7739397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251.4 </w:t>
            </w:r>
          </w:p>
        </w:tc>
        <w:tc>
          <w:tcPr>
            <w:tcW w:w="1044" w:type="dxa"/>
            <w:shd w:val="clear" w:color="auto" w:fill="auto"/>
            <w:vAlign w:val="bottom"/>
          </w:tcPr>
          <w:p w14:paraId="695E01C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252.3 </w:t>
            </w:r>
          </w:p>
        </w:tc>
        <w:tc>
          <w:tcPr>
            <w:tcW w:w="993" w:type="dxa"/>
            <w:shd w:val="clear" w:color="auto" w:fill="auto"/>
            <w:vAlign w:val="bottom"/>
          </w:tcPr>
          <w:p w14:paraId="567681F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1B64985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117.0 </w:t>
            </w:r>
          </w:p>
        </w:tc>
        <w:tc>
          <w:tcPr>
            <w:tcW w:w="993" w:type="dxa"/>
            <w:shd w:val="clear" w:color="auto" w:fill="auto"/>
            <w:vAlign w:val="bottom"/>
          </w:tcPr>
          <w:p w14:paraId="7D349FC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151.8 </w:t>
            </w:r>
          </w:p>
        </w:tc>
        <w:tc>
          <w:tcPr>
            <w:tcW w:w="994" w:type="dxa"/>
            <w:shd w:val="clear" w:color="auto" w:fill="auto"/>
            <w:vAlign w:val="bottom"/>
          </w:tcPr>
          <w:p w14:paraId="66E3CB7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268.8</w:t>
            </w:r>
          </w:p>
        </w:tc>
        <w:tc>
          <w:tcPr>
            <w:tcW w:w="994" w:type="dxa"/>
            <w:shd w:val="clear" w:color="auto" w:fill="auto"/>
            <w:vAlign w:val="bottom"/>
          </w:tcPr>
          <w:p w14:paraId="4C01C3C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106.5</w:t>
            </w:r>
          </w:p>
        </w:tc>
        <w:tc>
          <w:tcPr>
            <w:tcW w:w="1001" w:type="dxa"/>
            <w:shd w:val="clear" w:color="auto" w:fill="auto"/>
            <w:vAlign w:val="bottom"/>
          </w:tcPr>
          <w:p w14:paraId="7AC0E64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521.1</w:t>
            </w:r>
          </w:p>
        </w:tc>
      </w:tr>
      <w:tr w:rsidR="003F2E7C" w:rsidRPr="00E96905" w14:paraId="4964F87C" w14:textId="77777777" w:rsidTr="002D4D92">
        <w:tc>
          <w:tcPr>
            <w:tcW w:w="1953" w:type="dxa"/>
            <w:shd w:val="clear" w:color="auto" w:fill="auto"/>
            <w:vAlign w:val="bottom"/>
          </w:tcPr>
          <w:p w14:paraId="3E0ED9F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 xml:space="preserve">General operating expenses </w:t>
            </w:r>
          </w:p>
        </w:tc>
        <w:tc>
          <w:tcPr>
            <w:tcW w:w="936" w:type="dxa"/>
            <w:shd w:val="clear" w:color="auto" w:fill="auto"/>
            <w:vAlign w:val="bottom"/>
          </w:tcPr>
          <w:p w14:paraId="5ACDB765"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354.6</w:t>
            </w:r>
          </w:p>
        </w:tc>
        <w:tc>
          <w:tcPr>
            <w:tcW w:w="1044" w:type="dxa"/>
            <w:shd w:val="clear" w:color="auto" w:fill="auto"/>
            <w:vAlign w:val="bottom"/>
          </w:tcPr>
          <w:p w14:paraId="21017A8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350.4 </w:t>
            </w:r>
          </w:p>
        </w:tc>
        <w:tc>
          <w:tcPr>
            <w:tcW w:w="993" w:type="dxa"/>
            <w:shd w:val="clear" w:color="auto" w:fill="auto"/>
            <w:vAlign w:val="bottom"/>
          </w:tcPr>
          <w:p w14:paraId="50C668E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66B35A4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3" w:type="dxa"/>
            <w:shd w:val="clear" w:color="auto" w:fill="auto"/>
            <w:vAlign w:val="bottom"/>
          </w:tcPr>
          <w:p w14:paraId="099B595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(161.2)</w:t>
            </w:r>
          </w:p>
        </w:tc>
        <w:tc>
          <w:tcPr>
            <w:tcW w:w="994" w:type="dxa"/>
            <w:shd w:val="clear" w:color="auto" w:fill="auto"/>
            <w:vAlign w:val="bottom"/>
          </w:tcPr>
          <w:p w14:paraId="27C0437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(161.2)</w:t>
            </w:r>
          </w:p>
        </w:tc>
        <w:tc>
          <w:tcPr>
            <w:tcW w:w="994" w:type="dxa"/>
            <w:shd w:val="clear" w:color="auto" w:fill="auto"/>
            <w:vAlign w:val="bottom"/>
          </w:tcPr>
          <w:p w14:paraId="15E9F22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(46.0)</w:t>
            </w:r>
          </w:p>
        </w:tc>
        <w:tc>
          <w:tcPr>
            <w:tcW w:w="1001" w:type="dxa"/>
            <w:shd w:val="clear" w:color="auto" w:fill="auto"/>
            <w:vAlign w:val="bottom"/>
          </w:tcPr>
          <w:p w14:paraId="4AFC3AB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189.2 </w:t>
            </w:r>
          </w:p>
        </w:tc>
      </w:tr>
      <w:tr w:rsidR="003F2E7C" w:rsidRPr="00E96905" w14:paraId="4D79F560" w14:textId="77777777" w:rsidTr="002D4D92">
        <w:tc>
          <w:tcPr>
            <w:tcW w:w="1953" w:type="dxa"/>
            <w:shd w:val="clear" w:color="auto" w:fill="auto"/>
            <w:vAlign w:val="bottom"/>
          </w:tcPr>
          <w:p w14:paraId="419D98D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 xml:space="preserve">Supplies and materials </w:t>
            </w:r>
          </w:p>
        </w:tc>
        <w:tc>
          <w:tcPr>
            <w:tcW w:w="936" w:type="dxa"/>
            <w:shd w:val="clear" w:color="auto" w:fill="auto"/>
            <w:vAlign w:val="bottom"/>
          </w:tcPr>
          <w:p w14:paraId="55FE651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33.8 </w:t>
            </w:r>
          </w:p>
        </w:tc>
        <w:tc>
          <w:tcPr>
            <w:tcW w:w="1044" w:type="dxa"/>
            <w:shd w:val="clear" w:color="auto" w:fill="auto"/>
            <w:vAlign w:val="bottom"/>
          </w:tcPr>
          <w:p w14:paraId="1B7951DE"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32.7 </w:t>
            </w:r>
          </w:p>
        </w:tc>
        <w:tc>
          <w:tcPr>
            <w:tcW w:w="993" w:type="dxa"/>
            <w:shd w:val="clear" w:color="auto" w:fill="auto"/>
            <w:vAlign w:val="bottom"/>
          </w:tcPr>
          <w:p w14:paraId="184666B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5FDEAB9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3" w:type="dxa"/>
            <w:shd w:val="clear" w:color="auto" w:fill="auto"/>
            <w:vAlign w:val="bottom"/>
          </w:tcPr>
          <w:p w14:paraId="7C6942B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(15.2)</w:t>
            </w:r>
          </w:p>
        </w:tc>
        <w:tc>
          <w:tcPr>
            <w:tcW w:w="994" w:type="dxa"/>
            <w:shd w:val="clear" w:color="auto" w:fill="auto"/>
            <w:vAlign w:val="bottom"/>
          </w:tcPr>
          <w:p w14:paraId="6D30C97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(15.2)</w:t>
            </w:r>
          </w:p>
        </w:tc>
        <w:tc>
          <w:tcPr>
            <w:tcW w:w="994" w:type="dxa"/>
            <w:shd w:val="clear" w:color="auto" w:fill="auto"/>
            <w:vAlign w:val="bottom"/>
          </w:tcPr>
          <w:p w14:paraId="03AE68A7"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(46.5)</w:t>
            </w:r>
          </w:p>
        </w:tc>
        <w:tc>
          <w:tcPr>
            <w:tcW w:w="1001" w:type="dxa"/>
            <w:shd w:val="clear" w:color="auto" w:fill="auto"/>
            <w:vAlign w:val="bottom"/>
          </w:tcPr>
          <w:p w14:paraId="54F1709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17.5 </w:t>
            </w:r>
          </w:p>
        </w:tc>
      </w:tr>
      <w:tr w:rsidR="003F2E7C" w:rsidRPr="00E96905" w14:paraId="741C3D74" w14:textId="77777777" w:rsidTr="002D4D92">
        <w:tc>
          <w:tcPr>
            <w:tcW w:w="1953" w:type="dxa"/>
            <w:shd w:val="clear" w:color="auto" w:fill="auto"/>
            <w:vAlign w:val="bottom"/>
          </w:tcPr>
          <w:p w14:paraId="5AC74282"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 xml:space="preserve">Furniture and equipment </w:t>
            </w:r>
          </w:p>
        </w:tc>
        <w:tc>
          <w:tcPr>
            <w:tcW w:w="936" w:type="dxa"/>
            <w:shd w:val="clear" w:color="auto" w:fill="auto"/>
            <w:vAlign w:val="bottom"/>
          </w:tcPr>
          <w:p w14:paraId="294F5EE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152.7 </w:t>
            </w:r>
          </w:p>
        </w:tc>
        <w:tc>
          <w:tcPr>
            <w:tcW w:w="1044" w:type="dxa"/>
            <w:shd w:val="clear" w:color="auto" w:fill="auto"/>
            <w:vAlign w:val="bottom"/>
          </w:tcPr>
          <w:p w14:paraId="64F7958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28.6 </w:t>
            </w:r>
          </w:p>
        </w:tc>
        <w:tc>
          <w:tcPr>
            <w:tcW w:w="993" w:type="dxa"/>
            <w:shd w:val="clear" w:color="auto" w:fill="auto"/>
            <w:vAlign w:val="bottom"/>
          </w:tcPr>
          <w:p w14:paraId="0931752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496829B7"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3" w:type="dxa"/>
            <w:shd w:val="clear" w:color="auto" w:fill="auto"/>
            <w:vAlign w:val="bottom"/>
          </w:tcPr>
          <w:p w14:paraId="3C15356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21.0 </w:t>
            </w:r>
          </w:p>
        </w:tc>
        <w:tc>
          <w:tcPr>
            <w:tcW w:w="994" w:type="dxa"/>
            <w:shd w:val="clear" w:color="auto" w:fill="auto"/>
            <w:vAlign w:val="bottom"/>
          </w:tcPr>
          <w:p w14:paraId="14AFC90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21.0 </w:t>
            </w:r>
          </w:p>
        </w:tc>
        <w:tc>
          <w:tcPr>
            <w:tcW w:w="994" w:type="dxa"/>
            <w:shd w:val="clear" w:color="auto" w:fill="auto"/>
            <w:vAlign w:val="bottom"/>
          </w:tcPr>
          <w:p w14:paraId="36BEF17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73.4 </w:t>
            </w:r>
          </w:p>
        </w:tc>
        <w:tc>
          <w:tcPr>
            <w:tcW w:w="1001" w:type="dxa"/>
            <w:shd w:val="clear" w:color="auto" w:fill="auto"/>
            <w:vAlign w:val="bottom"/>
          </w:tcPr>
          <w:p w14:paraId="56436F9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49.6 </w:t>
            </w:r>
          </w:p>
        </w:tc>
      </w:tr>
      <w:tr w:rsidR="003F2E7C" w:rsidRPr="00E96905" w14:paraId="4CC8A8E6" w14:textId="77777777" w:rsidTr="002D4D92">
        <w:tc>
          <w:tcPr>
            <w:tcW w:w="1953" w:type="dxa"/>
            <w:shd w:val="clear" w:color="auto" w:fill="auto"/>
            <w:vAlign w:val="bottom"/>
          </w:tcPr>
          <w:p w14:paraId="7A6E904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jc w:val="left"/>
              <w:rPr>
                <w:sz w:val="17"/>
              </w:rPr>
            </w:pPr>
            <w:r w:rsidRPr="00E96905">
              <w:rPr>
                <w:sz w:val="17"/>
              </w:rPr>
              <w:t xml:space="preserve">Grants and contributions </w:t>
            </w:r>
          </w:p>
        </w:tc>
        <w:tc>
          <w:tcPr>
            <w:tcW w:w="936" w:type="dxa"/>
            <w:shd w:val="clear" w:color="auto" w:fill="auto"/>
            <w:vAlign w:val="bottom"/>
          </w:tcPr>
          <w:p w14:paraId="7EA2382D"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w:t>
            </w:r>
          </w:p>
        </w:tc>
        <w:tc>
          <w:tcPr>
            <w:tcW w:w="1044" w:type="dxa"/>
            <w:shd w:val="clear" w:color="auto" w:fill="auto"/>
            <w:vAlign w:val="bottom"/>
          </w:tcPr>
          <w:p w14:paraId="305219B3"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3" w:type="dxa"/>
            <w:shd w:val="clear" w:color="auto" w:fill="auto"/>
            <w:vAlign w:val="bottom"/>
          </w:tcPr>
          <w:p w14:paraId="58B0AB8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0CB199DD"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50.0 </w:t>
            </w:r>
          </w:p>
        </w:tc>
        <w:tc>
          <w:tcPr>
            <w:tcW w:w="993" w:type="dxa"/>
            <w:shd w:val="clear" w:color="auto" w:fill="auto"/>
            <w:vAlign w:val="bottom"/>
          </w:tcPr>
          <w:p w14:paraId="146866C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994" w:type="dxa"/>
            <w:shd w:val="clear" w:color="auto" w:fill="auto"/>
            <w:vAlign w:val="bottom"/>
          </w:tcPr>
          <w:p w14:paraId="043B1884"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50.0 </w:t>
            </w:r>
          </w:p>
        </w:tc>
        <w:tc>
          <w:tcPr>
            <w:tcW w:w="994" w:type="dxa"/>
            <w:shd w:val="clear" w:color="auto" w:fill="auto"/>
            <w:vAlign w:val="bottom"/>
          </w:tcPr>
          <w:p w14:paraId="6A2832F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 – </w:t>
            </w:r>
          </w:p>
        </w:tc>
        <w:tc>
          <w:tcPr>
            <w:tcW w:w="1001" w:type="dxa"/>
            <w:shd w:val="clear" w:color="auto" w:fill="auto"/>
            <w:vAlign w:val="bottom"/>
          </w:tcPr>
          <w:p w14:paraId="2338956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E96905">
              <w:rPr>
                <w:sz w:val="17"/>
              </w:rPr>
              <w:t xml:space="preserve">50.0 </w:t>
            </w:r>
          </w:p>
        </w:tc>
      </w:tr>
      <w:tr w:rsidR="003F2E7C" w:rsidRPr="00E96905" w14:paraId="60922F0A" w14:textId="77777777" w:rsidTr="002D4D92">
        <w:tc>
          <w:tcPr>
            <w:tcW w:w="1953" w:type="dxa"/>
            <w:tcBorders>
              <w:bottom w:val="single" w:sz="4" w:space="0" w:color="auto"/>
            </w:tcBorders>
            <w:shd w:val="clear" w:color="auto" w:fill="auto"/>
            <w:vAlign w:val="bottom"/>
          </w:tcPr>
          <w:p w14:paraId="49044B8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0" w:right="40"/>
              <w:jc w:val="left"/>
              <w:rPr>
                <w:sz w:val="17"/>
              </w:rPr>
            </w:pPr>
            <w:r w:rsidRPr="00E96905">
              <w:rPr>
                <w:sz w:val="17"/>
              </w:rPr>
              <w:t xml:space="preserve">Other </w:t>
            </w:r>
          </w:p>
        </w:tc>
        <w:tc>
          <w:tcPr>
            <w:tcW w:w="936" w:type="dxa"/>
            <w:tcBorders>
              <w:bottom w:val="single" w:sz="4" w:space="0" w:color="auto"/>
            </w:tcBorders>
            <w:shd w:val="clear" w:color="auto" w:fill="auto"/>
            <w:vAlign w:val="bottom"/>
          </w:tcPr>
          <w:p w14:paraId="44D2814A"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96905">
              <w:rPr>
                <w:sz w:val="17"/>
              </w:rPr>
              <w:t xml:space="preserve">(0.3) </w:t>
            </w:r>
          </w:p>
        </w:tc>
        <w:tc>
          <w:tcPr>
            <w:tcW w:w="1044" w:type="dxa"/>
            <w:tcBorders>
              <w:bottom w:val="single" w:sz="4" w:space="0" w:color="auto"/>
            </w:tcBorders>
            <w:shd w:val="clear" w:color="auto" w:fill="auto"/>
            <w:vAlign w:val="bottom"/>
          </w:tcPr>
          <w:p w14:paraId="5AB6C867"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96905">
              <w:rPr>
                <w:sz w:val="17"/>
              </w:rPr>
              <w:t xml:space="preserve"> – </w:t>
            </w:r>
          </w:p>
        </w:tc>
        <w:tc>
          <w:tcPr>
            <w:tcW w:w="993" w:type="dxa"/>
            <w:tcBorders>
              <w:bottom w:val="single" w:sz="4" w:space="0" w:color="auto"/>
            </w:tcBorders>
            <w:shd w:val="clear" w:color="auto" w:fill="auto"/>
            <w:vAlign w:val="bottom"/>
          </w:tcPr>
          <w:p w14:paraId="3132ED10"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96905">
              <w:rPr>
                <w:sz w:val="17"/>
              </w:rPr>
              <w:t xml:space="preserve"> – </w:t>
            </w:r>
          </w:p>
        </w:tc>
        <w:tc>
          <w:tcPr>
            <w:tcW w:w="994" w:type="dxa"/>
            <w:tcBorders>
              <w:bottom w:val="single" w:sz="4" w:space="0" w:color="auto"/>
            </w:tcBorders>
            <w:shd w:val="clear" w:color="auto" w:fill="auto"/>
            <w:vAlign w:val="bottom"/>
          </w:tcPr>
          <w:p w14:paraId="09BD49E5"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96905">
              <w:rPr>
                <w:sz w:val="17"/>
              </w:rPr>
              <w:t xml:space="preserve"> – </w:t>
            </w:r>
          </w:p>
        </w:tc>
        <w:tc>
          <w:tcPr>
            <w:tcW w:w="993" w:type="dxa"/>
            <w:tcBorders>
              <w:bottom w:val="single" w:sz="4" w:space="0" w:color="auto"/>
            </w:tcBorders>
            <w:shd w:val="clear" w:color="auto" w:fill="auto"/>
            <w:vAlign w:val="bottom"/>
          </w:tcPr>
          <w:p w14:paraId="3DC889D1"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96905">
              <w:rPr>
                <w:sz w:val="17"/>
              </w:rPr>
              <w:t xml:space="preserve"> – </w:t>
            </w:r>
          </w:p>
        </w:tc>
        <w:tc>
          <w:tcPr>
            <w:tcW w:w="994" w:type="dxa"/>
            <w:tcBorders>
              <w:bottom w:val="single" w:sz="4" w:space="0" w:color="auto"/>
            </w:tcBorders>
            <w:shd w:val="clear" w:color="auto" w:fill="auto"/>
            <w:vAlign w:val="bottom"/>
          </w:tcPr>
          <w:p w14:paraId="515BF68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96905">
              <w:rPr>
                <w:sz w:val="17"/>
              </w:rPr>
              <w:t xml:space="preserve"> – </w:t>
            </w:r>
          </w:p>
        </w:tc>
        <w:tc>
          <w:tcPr>
            <w:tcW w:w="994" w:type="dxa"/>
            <w:tcBorders>
              <w:bottom w:val="single" w:sz="4" w:space="0" w:color="auto"/>
            </w:tcBorders>
            <w:shd w:val="clear" w:color="auto" w:fill="auto"/>
            <w:vAlign w:val="bottom"/>
          </w:tcPr>
          <w:p w14:paraId="500DB6E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96905">
              <w:rPr>
                <w:sz w:val="17"/>
              </w:rPr>
              <w:t xml:space="preserve"> – </w:t>
            </w:r>
          </w:p>
        </w:tc>
        <w:tc>
          <w:tcPr>
            <w:tcW w:w="1001" w:type="dxa"/>
            <w:tcBorders>
              <w:bottom w:val="single" w:sz="4" w:space="0" w:color="auto"/>
            </w:tcBorders>
            <w:shd w:val="clear" w:color="auto" w:fill="auto"/>
            <w:vAlign w:val="bottom"/>
          </w:tcPr>
          <w:p w14:paraId="392F2459"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81" w:line="210" w:lineRule="exact"/>
              <w:ind w:left="144" w:right="40"/>
              <w:jc w:val="right"/>
              <w:rPr>
                <w:sz w:val="17"/>
              </w:rPr>
            </w:pPr>
            <w:r w:rsidRPr="00E96905">
              <w:rPr>
                <w:sz w:val="17"/>
              </w:rPr>
              <w:t xml:space="preserve"> – </w:t>
            </w:r>
          </w:p>
        </w:tc>
      </w:tr>
      <w:tr w:rsidR="003F2E7C" w:rsidRPr="00E96905" w14:paraId="1233495B" w14:textId="77777777" w:rsidTr="002D4D92">
        <w:tc>
          <w:tcPr>
            <w:tcW w:w="1953" w:type="dxa"/>
            <w:tcBorders>
              <w:top w:val="single" w:sz="4" w:space="0" w:color="auto"/>
              <w:bottom w:val="single" w:sz="12" w:space="0" w:color="auto"/>
            </w:tcBorders>
            <w:shd w:val="clear" w:color="auto" w:fill="auto"/>
            <w:vAlign w:val="bottom"/>
          </w:tcPr>
          <w:p w14:paraId="63238220"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0" w:right="40"/>
              <w:jc w:val="left"/>
              <w:rPr>
                <w:b/>
                <w:sz w:val="17"/>
              </w:rPr>
            </w:pPr>
            <w:r w:rsidRPr="00E96905">
              <w:rPr>
                <w:b/>
                <w:sz w:val="17"/>
              </w:rPr>
              <w:tab/>
              <w:t xml:space="preserve">Total </w:t>
            </w:r>
          </w:p>
        </w:tc>
        <w:tc>
          <w:tcPr>
            <w:tcW w:w="936" w:type="dxa"/>
            <w:tcBorders>
              <w:top w:val="single" w:sz="4" w:space="0" w:color="auto"/>
              <w:bottom w:val="single" w:sz="12" w:space="0" w:color="auto"/>
            </w:tcBorders>
            <w:shd w:val="clear" w:color="auto" w:fill="auto"/>
            <w:vAlign w:val="bottom"/>
          </w:tcPr>
          <w:p w14:paraId="6443EA40"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96905">
              <w:rPr>
                <w:b/>
                <w:sz w:val="17"/>
              </w:rPr>
              <w:t xml:space="preserve"> 12 167.3</w:t>
            </w:r>
          </w:p>
        </w:tc>
        <w:tc>
          <w:tcPr>
            <w:tcW w:w="1044" w:type="dxa"/>
            <w:tcBorders>
              <w:top w:val="single" w:sz="4" w:space="0" w:color="auto"/>
              <w:bottom w:val="single" w:sz="12" w:space="0" w:color="auto"/>
            </w:tcBorders>
            <w:shd w:val="clear" w:color="auto" w:fill="auto"/>
            <w:vAlign w:val="bottom"/>
          </w:tcPr>
          <w:p w14:paraId="1C7E9748"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96905">
              <w:rPr>
                <w:b/>
                <w:sz w:val="17"/>
              </w:rPr>
              <w:t xml:space="preserve"> 12 495.8 </w:t>
            </w:r>
          </w:p>
        </w:tc>
        <w:tc>
          <w:tcPr>
            <w:tcW w:w="993" w:type="dxa"/>
            <w:tcBorders>
              <w:top w:val="single" w:sz="4" w:space="0" w:color="auto"/>
              <w:bottom w:val="single" w:sz="12" w:space="0" w:color="auto"/>
            </w:tcBorders>
            <w:shd w:val="clear" w:color="auto" w:fill="auto"/>
            <w:vAlign w:val="bottom"/>
          </w:tcPr>
          <w:p w14:paraId="3F7E6C90"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96905">
              <w:rPr>
                <w:b/>
                <w:sz w:val="17"/>
              </w:rPr>
              <w:t xml:space="preserve"> 196.2 </w:t>
            </w:r>
          </w:p>
        </w:tc>
        <w:tc>
          <w:tcPr>
            <w:tcW w:w="994" w:type="dxa"/>
            <w:tcBorders>
              <w:top w:val="single" w:sz="4" w:space="0" w:color="auto"/>
              <w:bottom w:val="single" w:sz="12" w:space="0" w:color="auto"/>
            </w:tcBorders>
            <w:shd w:val="clear" w:color="auto" w:fill="auto"/>
            <w:vAlign w:val="bottom"/>
          </w:tcPr>
          <w:p w14:paraId="7017AE1F"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96905">
              <w:rPr>
                <w:b/>
                <w:sz w:val="17"/>
              </w:rPr>
              <w:t xml:space="preserve"> 597.0 </w:t>
            </w:r>
          </w:p>
        </w:tc>
        <w:tc>
          <w:tcPr>
            <w:tcW w:w="993" w:type="dxa"/>
            <w:tcBorders>
              <w:top w:val="single" w:sz="4" w:space="0" w:color="auto"/>
              <w:bottom w:val="single" w:sz="12" w:space="0" w:color="auto"/>
            </w:tcBorders>
            <w:shd w:val="clear" w:color="auto" w:fill="auto"/>
            <w:vAlign w:val="bottom"/>
          </w:tcPr>
          <w:p w14:paraId="577FC4FC"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96905">
              <w:rPr>
                <w:b/>
                <w:sz w:val="17"/>
              </w:rPr>
              <w:t xml:space="preserve"> – </w:t>
            </w:r>
          </w:p>
        </w:tc>
        <w:tc>
          <w:tcPr>
            <w:tcW w:w="994" w:type="dxa"/>
            <w:tcBorders>
              <w:top w:val="single" w:sz="4" w:space="0" w:color="auto"/>
              <w:bottom w:val="single" w:sz="12" w:space="0" w:color="auto"/>
            </w:tcBorders>
            <w:shd w:val="clear" w:color="auto" w:fill="auto"/>
            <w:vAlign w:val="bottom"/>
          </w:tcPr>
          <w:p w14:paraId="5BB4DCC6"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96905">
              <w:rPr>
                <w:b/>
                <w:sz w:val="17"/>
              </w:rPr>
              <w:t xml:space="preserve"> 793.2 </w:t>
            </w:r>
          </w:p>
        </w:tc>
        <w:tc>
          <w:tcPr>
            <w:tcW w:w="994" w:type="dxa"/>
            <w:tcBorders>
              <w:top w:val="single" w:sz="4" w:space="0" w:color="auto"/>
              <w:bottom w:val="single" w:sz="12" w:space="0" w:color="auto"/>
            </w:tcBorders>
            <w:shd w:val="clear" w:color="auto" w:fill="auto"/>
            <w:vAlign w:val="bottom"/>
          </w:tcPr>
          <w:p w14:paraId="448680F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96905">
              <w:rPr>
                <w:b/>
                <w:sz w:val="17"/>
              </w:rPr>
              <w:t xml:space="preserve"> 6.3 </w:t>
            </w:r>
          </w:p>
        </w:tc>
        <w:tc>
          <w:tcPr>
            <w:tcW w:w="1001" w:type="dxa"/>
            <w:tcBorders>
              <w:top w:val="single" w:sz="4" w:space="0" w:color="auto"/>
              <w:bottom w:val="single" w:sz="12" w:space="0" w:color="auto"/>
            </w:tcBorders>
            <w:shd w:val="clear" w:color="auto" w:fill="auto"/>
            <w:vAlign w:val="bottom"/>
          </w:tcPr>
          <w:p w14:paraId="770EE9FB" w14:textId="77777777" w:rsidR="003F2E7C" w:rsidRPr="00E96905" w:rsidRDefault="003F2E7C" w:rsidP="0020646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81" w:after="81" w:line="210" w:lineRule="exact"/>
              <w:ind w:left="144" w:right="40"/>
              <w:jc w:val="right"/>
              <w:rPr>
                <w:b/>
                <w:sz w:val="17"/>
              </w:rPr>
            </w:pPr>
            <w:r w:rsidRPr="00E96905">
              <w:rPr>
                <w:b/>
                <w:sz w:val="17"/>
              </w:rPr>
              <w:t xml:space="preserve"> 13 289.0</w:t>
            </w:r>
          </w:p>
        </w:tc>
      </w:tr>
    </w:tbl>
    <w:p w14:paraId="5491F59C" w14:textId="77777777" w:rsidR="003F2E7C" w:rsidRPr="00E96905" w:rsidRDefault="003F2E7C" w:rsidP="003F2E7C">
      <w:pPr>
        <w:pStyle w:val="SingleTxt"/>
        <w:spacing w:after="0" w:line="120" w:lineRule="exact"/>
        <w:rPr>
          <w:sz w:val="10"/>
        </w:rPr>
      </w:pPr>
    </w:p>
    <w:p w14:paraId="7E883B6F" w14:textId="77777777" w:rsidR="003F2E7C" w:rsidRPr="00E96905" w:rsidRDefault="003F2E7C" w:rsidP="003F2E7C">
      <w:pPr>
        <w:pStyle w:val="SingleTxt"/>
        <w:spacing w:after="0" w:line="120" w:lineRule="exact"/>
        <w:rPr>
          <w:sz w:val="10"/>
        </w:rPr>
      </w:pPr>
    </w:p>
    <w:p w14:paraId="4B5D0264" w14:textId="77777777" w:rsidR="003F2E7C" w:rsidRPr="00E96905" w:rsidRDefault="003F2E7C" w:rsidP="003F2E7C">
      <w:r w:rsidRPr="00E96905">
        <w:t>Table 15.12</w:t>
      </w:r>
    </w:p>
    <w:p w14:paraId="4A3193EA"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Overall: proposed posts and post changes for 2022</w:t>
      </w:r>
      <w:r w:rsidRPr="00E96905">
        <w:rPr>
          <w:b w:val="0"/>
          <w:bCs/>
          <w:i/>
          <w:iCs/>
          <w:vertAlign w:val="superscript"/>
        </w:rPr>
        <w:t>a</w:t>
      </w:r>
    </w:p>
    <w:p w14:paraId="6B044CD3"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rsidRPr="00E96905">
        <w:rPr>
          <w:b w:val="0"/>
          <w:bCs/>
          <w:sz w:val="14"/>
          <w:szCs w:val="14"/>
        </w:rPr>
        <w:t>(Number of posts)</w:t>
      </w:r>
    </w:p>
    <w:p w14:paraId="1F042C2C" w14:textId="77777777" w:rsidR="003F2E7C" w:rsidRPr="00E96905" w:rsidRDefault="003F2E7C" w:rsidP="003F2E7C">
      <w:pPr>
        <w:pStyle w:val="SingleTxt"/>
        <w:spacing w:after="0" w:line="120" w:lineRule="exact"/>
        <w:rPr>
          <w:sz w:val="10"/>
        </w:rPr>
      </w:pPr>
    </w:p>
    <w:p w14:paraId="7E1F4EA6" w14:textId="77777777" w:rsidR="003F2E7C" w:rsidRPr="00E96905" w:rsidRDefault="003F2E7C" w:rsidP="003F2E7C">
      <w:pPr>
        <w:pStyle w:val="SingleTxt"/>
        <w:spacing w:after="0" w:line="120" w:lineRule="exact"/>
        <w:rPr>
          <w:sz w:val="10"/>
        </w:rPr>
      </w:pPr>
    </w:p>
    <w:tbl>
      <w:tblPr>
        <w:tblW w:w="9849" w:type="dxa"/>
        <w:jc w:val="center"/>
        <w:tblCellMar>
          <w:left w:w="0" w:type="dxa"/>
          <w:right w:w="0" w:type="dxa"/>
        </w:tblCellMar>
        <w:tblLook w:val="04A0" w:firstRow="1" w:lastRow="0" w:firstColumn="1" w:lastColumn="0" w:noHBand="0" w:noVBand="1"/>
      </w:tblPr>
      <w:tblGrid>
        <w:gridCol w:w="1980"/>
        <w:gridCol w:w="1071"/>
        <w:gridCol w:w="6798"/>
      </w:tblGrid>
      <w:tr w:rsidR="003F2E7C" w:rsidRPr="00E96905" w14:paraId="403BB764" w14:textId="77777777" w:rsidTr="00206464">
        <w:trPr>
          <w:trHeight w:val="20"/>
          <w:tblHeader/>
          <w:jc w:val="center"/>
        </w:trPr>
        <w:tc>
          <w:tcPr>
            <w:tcW w:w="1980" w:type="dxa"/>
            <w:tcBorders>
              <w:top w:val="single" w:sz="4" w:space="0" w:color="auto"/>
              <w:bottom w:val="single" w:sz="12" w:space="0" w:color="auto"/>
            </w:tcBorders>
            <w:shd w:val="clear" w:color="auto" w:fill="auto"/>
            <w:vAlign w:val="bottom"/>
            <w:hideMark/>
          </w:tcPr>
          <w:p w14:paraId="12193F20" w14:textId="77777777" w:rsidR="003F2E7C" w:rsidRPr="00E96905" w:rsidRDefault="003F2E7C" w:rsidP="00206464">
            <w:pPr>
              <w:spacing w:before="81" w:after="81" w:line="160" w:lineRule="exact"/>
              <w:ind w:right="40"/>
              <w:rPr>
                <w:rFonts w:eastAsia="Times New Roman"/>
                <w:i/>
                <w:iCs/>
                <w:color w:val="000000"/>
                <w:kern w:val="0"/>
                <w:sz w:val="14"/>
                <w:szCs w:val="14"/>
                <w:lang w:val="en-US" w:eastAsia="zh-CN"/>
              </w:rPr>
            </w:pPr>
          </w:p>
        </w:tc>
        <w:tc>
          <w:tcPr>
            <w:tcW w:w="1071" w:type="dxa"/>
            <w:tcBorders>
              <w:top w:val="single" w:sz="4" w:space="0" w:color="auto"/>
              <w:bottom w:val="single" w:sz="12" w:space="0" w:color="auto"/>
            </w:tcBorders>
            <w:shd w:val="clear" w:color="auto" w:fill="auto"/>
            <w:vAlign w:val="bottom"/>
            <w:hideMark/>
          </w:tcPr>
          <w:p w14:paraId="6D977C2C" w14:textId="77777777" w:rsidR="003F2E7C" w:rsidRPr="00E96905" w:rsidRDefault="003F2E7C" w:rsidP="00206464">
            <w:pPr>
              <w:spacing w:before="81" w:after="81" w:line="160" w:lineRule="exact"/>
              <w:ind w:left="144" w:right="40"/>
              <w:jc w:val="right"/>
              <w:rPr>
                <w:rFonts w:eastAsia="Times New Roman"/>
                <w:i/>
                <w:iCs/>
                <w:color w:val="000000"/>
                <w:kern w:val="0"/>
                <w:sz w:val="14"/>
                <w:szCs w:val="14"/>
                <w:lang w:val="en-US" w:eastAsia="zh-CN"/>
              </w:rPr>
            </w:pPr>
            <w:r w:rsidRPr="00E96905">
              <w:rPr>
                <w:rFonts w:eastAsia="Times New Roman"/>
                <w:i/>
                <w:iCs/>
                <w:color w:val="000000"/>
                <w:kern w:val="0"/>
                <w:sz w:val="14"/>
                <w:lang w:eastAsia="zh-CN"/>
              </w:rPr>
              <w:t>Number</w:t>
            </w:r>
          </w:p>
        </w:tc>
        <w:tc>
          <w:tcPr>
            <w:tcW w:w="6798" w:type="dxa"/>
            <w:tcBorders>
              <w:top w:val="single" w:sz="4" w:space="0" w:color="auto"/>
              <w:bottom w:val="single" w:sz="12" w:space="0" w:color="auto"/>
            </w:tcBorders>
            <w:shd w:val="clear" w:color="auto" w:fill="auto"/>
            <w:vAlign w:val="bottom"/>
            <w:hideMark/>
          </w:tcPr>
          <w:p w14:paraId="6783A41C" w14:textId="77777777" w:rsidR="003F2E7C" w:rsidRPr="00E96905" w:rsidRDefault="003F2E7C" w:rsidP="00206464">
            <w:pPr>
              <w:spacing w:before="81" w:after="81" w:line="160" w:lineRule="exact"/>
              <w:ind w:left="144" w:right="40"/>
              <w:rPr>
                <w:rFonts w:eastAsia="Times New Roman"/>
                <w:i/>
                <w:iCs/>
                <w:color w:val="000000"/>
                <w:kern w:val="0"/>
                <w:sz w:val="14"/>
                <w:szCs w:val="14"/>
                <w:lang w:val="en-US" w:eastAsia="zh-CN"/>
              </w:rPr>
            </w:pPr>
            <w:r w:rsidRPr="00E96905">
              <w:rPr>
                <w:rFonts w:eastAsia="Times New Roman"/>
                <w:i/>
                <w:iCs/>
                <w:color w:val="000000"/>
                <w:kern w:val="0"/>
                <w:sz w:val="14"/>
                <w:lang w:eastAsia="zh-CN"/>
              </w:rPr>
              <w:t>Details</w:t>
            </w:r>
          </w:p>
        </w:tc>
      </w:tr>
      <w:tr w:rsidR="003F2E7C" w:rsidRPr="00E96905" w14:paraId="6C49A145" w14:textId="77777777" w:rsidTr="00206464">
        <w:trPr>
          <w:trHeight w:hRule="exact" w:val="115"/>
          <w:tblHeader/>
          <w:jc w:val="center"/>
        </w:trPr>
        <w:tc>
          <w:tcPr>
            <w:tcW w:w="1980" w:type="dxa"/>
            <w:tcBorders>
              <w:top w:val="single" w:sz="12" w:space="0" w:color="auto"/>
            </w:tcBorders>
            <w:shd w:val="clear" w:color="auto" w:fill="auto"/>
            <w:vAlign w:val="bottom"/>
          </w:tcPr>
          <w:p w14:paraId="4DF73C69" w14:textId="77777777" w:rsidR="003F2E7C" w:rsidRPr="00E96905" w:rsidRDefault="003F2E7C" w:rsidP="00206464">
            <w:pPr>
              <w:spacing w:before="40" w:after="40" w:line="210" w:lineRule="exact"/>
              <w:ind w:right="40"/>
              <w:rPr>
                <w:rFonts w:eastAsia="Times New Roman"/>
                <w:color w:val="000000"/>
                <w:kern w:val="0"/>
                <w:sz w:val="17"/>
                <w:lang w:eastAsia="zh-CN"/>
              </w:rPr>
            </w:pPr>
          </w:p>
        </w:tc>
        <w:tc>
          <w:tcPr>
            <w:tcW w:w="1071" w:type="dxa"/>
            <w:tcBorders>
              <w:top w:val="single" w:sz="12" w:space="0" w:color="auto"/>
            </w:tcBorders>
            <w:shd w:val="clear" w:color="auto" w:fill="auto"/>
            <w:vAlign w:val="bottom"/>
          </w:tcPr>
          <w:p w14:paraId="20D5741E" w14:textId="77777777" w:rsidR="003F2E7C" w:rsidRPr="00E96905" w:rsidRDefault="003F2E7C" w:rsidP="00206464">
            <w:pPr>
              <w:spacing w:before="40" w:after="40" w:line="210" w:lineRule="exact"/>
              <w:ind w:left="144" w:right="40" w:firstLineChars="100" w:firstLine="178"/>
              <w:jc w:val="right"/>
              <w:rPr>
                <w:rFonts w:eastAsia="Times New Roman"/>
                <w:color w:val="000000"/>
                <w:kern w:val="0"/>
                <w:sz w:val="17"/>
                <w:lang w:eastAsia="zh-CN"/>
              </w:rPr>
            </w:pPr>
          </w:p>
        </w:tc>
        <w:tc>
          <w:tcPr>
            <w:tcW w:w="6798" w:type="dxa"/>
            <w:tcBorders>
              <w:top w:val="single" w:sz="12" w:space="0" w:color="auto"/>
            </w:tcBorders>
            <w:shd w:val="clear" w:color="auto" w:fill="auto"/>
            <w:vAlign w:val="bottom"/>
          </w:tcPr>
          <w:p w14:paraId="37D472EC" w14:textId="77777777" w:rsidR="003F2E7C" w:rsidRPr="00E96905" w:rsidRDefault="003F2E7C" w:rsidP="00206464">
            <w:pPr>
              <w:spacing w:before="40" w:after="40" w:line="210" w:lineRule="exact"/>
              <w:ind w:left="144" w:right="40"/>
              <w:rPr>
                <w:rFonts w:eastAsia="Times New Roman"/>
                <w:color w:val="000000"/>
                <w:kern w:val="0"/>
                <w:sz w:val="17"/>
                <w:lang w:eastAsia="zh-CN"/>
              </w:rPr>
            </w:pPr>
          </w:p>
        </w:tc>
      </w:tr>
      <w:tr w:rsidR="003F2E7C" w:rsidRPr="00E96905" w14:paraId="2E5CD304" w14:textId="77777777" w:rsidTr="00206464">
        <w:trPr>
          <w:trHeight w:val="20"/>
          <w:jc w:val="center"/>
        </w:trPr>
        <w:tc>
          <w:tcPr>
            <w:tcW w:w="1980" w:type="dxa"/>
            <w:shd w:val="clear" w:color="auto" w:fill="auto"/>
            <w:vAlign w:val="bottom"/>
            <w:hideMark/>
          </w:tcPr>
          <w:p w14:paraId="5FBCD697"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kern w:val="0"/>
                <w:sz w:val="17"/>
                <w:szCs w:val="17"/>
                <w:lang w:val="en-US" w:eastAsia="zh-CN"/>
              </w:rPr>
            </w:pPr>
            <w:r w:rsidRPr="00E96905">
              <w:rPr>
                <w:rFonts w:eastAsia="Times New Roman"/>
                <w:color w:val="000000"/>
                <w:kern w:val="0"/>
                <w:sz w:val="17"/>
                <w:lang w:eastAsia="zh-CN"/>
              </w:rPr>
              <w:t>Approved for 2021</w:t>
            </w:r>
          </w:p>
        </w:tc>
        <w:tc>
          <w:tcPr>
            <w:tcW w:w="1071" w:type="dxa"/>
            <w:shd w:val="clear" w:color="auto" w:fill="auto"/>
            <w:vAlign w:val="bottom"/>
          </w:tcPr>
          <w:p w14:paraId="6A8148E0" w14:textId="77777777" w:rsidR="003F2E7C" w:rsidRPr="00E96905" w:rsidRDefault="003F2E7C" w:rsidP="00206464">
            <w:pPr>
              <w:tabs>
                <w:tab w:val="left" w:pos="288"/>
                <w:tab w:val="left" w:pos="576"/>
                <w:tab w:val="left" w:pos="864"/>
                <w:tab w:val="left" w:pos="1152"/>
              </w:tabs>
              <w:spacing w:before="40" w:after="40" w:line="210" w:lineRule="exact"/>
              <w:ind w:left="144" w:right="40" w:firstLineChars="100" w:firstLine="178"/>
              <w:jc w:val="right"/>
              <w:rPr>
                <w:rFonts w:eastAsia="Times New Roman"/>
                <w:color w:val="000000"/>
                <w:kern w:val="0"/>
                <w:sz w:val="17"/>
                <w:szCs w:val="17"/>
                <w:lang w:val="en-US" w:eastAsia="zh-CN"/>
              </w:rPr>
            </w:pPr>
            <w:r w:rsidRPr="00E96905">
              <w:rPr>
                <w:rFonts w:eastAsia="Times New Roman"/>
                <w:color w:val="000000"/>
                <w:kern w:val="0"/>
                <w:sz w:val="17"/>
                <w:szCs w:val="17"/>
                <w:lang w:val="en-US" w:eastAsia="zh-CN"/>
              </w:rPr>
              <w:t>75</w:t>
            </w:r>
          </w:p>
        </w:tc>
        <w:tc>
          <w:tcPr>
            <w:tcW w:w="6798" w:type="dxa"/>
            <w:shd w:val="clear" w:color="auto" w:fill="auto"/>
            <w:vAlign w:val="bottom"/>
          </w:tcPr>
          <w:p w14:paraId="7CD5BA66" w14:textId="77777777" w:rsidR="003F2E7C" w:rsidRPr="00E96905" w:rsidRDefault="003F2E7C" w:rsidP="00206464">
            <w:pPr>
              <w:tabs>
                <w:tab w:val="left" w:pos="288"/>
                <w:tab w:val="left" w:pos="576"/>
                <w:tab w:val="left" w:pos="864"/>
                <w:tab w:val="left" w:pos="1152"/>
              </w:tabs>
              <w:spacing w:before="40" w:after="40" w:line="210" w:lineRule="exact"/>
              <w:ind w:left="144" w:right="40"/>
              <w:rPr>
                <w:rFonts w:eastAsia="Times New Roman"/>
                <w:color w:val="000000"/>
                <w:kern w:val="0"/>
                <w:sz w:val="17"/>
                <w:szCs w:val="17"/>
                <w:lang w:eastAsia="zh-CN"/>
              </w:rPr>
            </w:pPr>
            <w:r w:rsidRPr="00E96905">
              <w:rPr>
                <w:rFonts w:eastAsia="Times New Roman"/>
                <w:color w:val="000000"/>
                <w:kern w:val="0"/>
                <w:sz w:val="17"/>
                <w:szCs w:val="17"/>
                <w:lang w:eastAsia="zh-CN"/>
              </w:rPr>
              <w:t>1 USG, 1 D-2, 4 D-1, 9 P-5, 17 P-4, 14 P-3, 5 P-2/1, 2 GS (OL), 22 LL</w:t>
            </w:r>
          </w:p>
        </w:tc>
      </w:tr>
      <w:tr w:rsidR="003F2E7C" w:rsidRPr="00E96905" w14:paraId="2DE380C5" w14:textId="77777777" w:rsidTr="00206464">
        <w:trPr>
          <w:trHeight w:val="20"/>
          <w:jc w:val="center"/>
        </w:trPr>
        <w:tc>
          <w:tcPr>
            <w:tcW w:w="1980" w:type="dxa"/>
            <w:shd w:val="clear" w:color="auto" w:fill="auto"/>
            <w:hideMark/>
          </w:tcPr>
          <w:p w14:paraId="3A1812F3" w14:textId="77777777" w:rsidR="003F2E7C" w:rsidRPr="00E96905" w:rsidRDefault="003F2E7C" w:rsidP="00206464">
            <w:pPr>
              <w:tabs>
                <w:tab w:val="left" w:pos="288"/>
                <w:tab w:val="left" w:pos="576"/>
                <w:tab w:val="left" w:pos="864"/>
                <w:tab w:val="left" w:pos="1152"/>
              </w:tabs>
              <w:spacing w:before="40" w:after="40" w:line="210" w:lineRule="exact"/>
              <w:ind w:right="43"/>
              <w:rPr>
                <w:rFonts w:eastAsia="Times New Roman"/>
                <w:color w:val="000000"/>
                <w:kern w:val="0"/>
                <w:sz w:val="17"/>
                <w:szCs w:val="17"/>
                <w:lang w:val="en-US" w:eastAsia="zh-CN"/>
              </w:rPr>
            </w:pPr>
            <w:r w:rsidRPr="00E96905">
              <w:rPr>
                <w:rFonts w:eastAsia="Times New Roman"/>
                <w:color w:val="000000"/>
                <w:kern w:val="0"/>
                <w:sz w:val="17"/>
                <w:lang w:eastAsia="zh-CN"/>
              </w:rPr>
              <w:tab/>
              <w:t>Redeployment</w:t>
            </w:r>
          </w:p>
        </w:tc>
        <w:tc>
          <w:tcPr>
            <w:tcW w:w="1071" w:type="dxa"/>
            <w:shd w:val="clear" w:color="auto" w:fill="auto"/>
          </w:tcPr>
          <w:p w14:paraId="489BCD97" w14:textId="77777777" w:rsidR="003F2E7C" w:rsidRPr="00E96905" w:rsidRDefault="003F2E7C" w:rsidP="00206464">
            <w:pPr>
              <w:tabs>
                <w:tab w:val="left" w:pos="288"/>
                <w:tab w:val="left" w:pos="576"/>
                <w:tab w:val="left" w:pos="864"/>
                <w:tab w:val="left" w:pos="1152"/>
              </w:tabs>
              <w:spacing w:before="40" w:after="40" w:line="210" w:lineRule="exact"/>
              <w:ind w:left="144" w:right="40" w:firstLineChars="100" w:firstLine="178"/>
              <w:jc w:val="right"/>
              <w:rPr>
                <w:rFonts w:eastAsia="Times New Roman"/>
                <w:color w:val="000000"/>
                <w:kern w:val="0"/>
                <w:sz w:val="17"/>
                <w:szCs w:val="17"/>
                <w:lang w:val="en-US" w:eastAsia="zh-CN"/>
              </w:rPr>
            </w:pPr>
            <w:r w:rsidRPr="00E96905">
              <w:rPr>
                <w:rFonts w:eastAsia="Times New Roman"/>
                <w:color w:val="000000"/>
                <w:kern w:val="0"/>
                <w:sz w:val="17"/>
                <w:szCs w:val="17"/>
                <w:lang w:val="en-US" w:eastAsia="zh-CN"/>
              </w:rPr>
              <w:t>–</w:t>
            </w:r>
          </w:p>
        </w:tc>
        <w:tc>
          <w:tcPr>
            <w:tcW w:w="6798" w:type="dxa"/>
            <w:shd w:val="clear" w:color="auto" w:fill="auto"/>
            <w:vAlign w:val="bottom"/>
          </w:tcPr>
          <w:p w14:paraId="1C2B077A" w14:textId="77777777" w:rsidR="003F2E7C" w:rsidRPr="00E96905" w:rsidRDefault="003F2E7C" w:rsidP="00206464">
            <w:pPr>
              <w:tabs>
                <w:tab w:val="left" w:pos="288"/>
                <w:tab w:val="left" w:pos="576"/>
                <w:tab w:val="left" w:pos="864"/>
                <w:tab w:val="left" w:pos="1152"/>
              </w:tabs>
              <w:spacing w:before="40" w:after="40" w:line="210" w:lineRule="exact"/>
              <w:ind w:left="144" w:right="40"/>
              <w:rPr>
                <w:rFonts w:eastAsia="Times New Roman"/>
                <w:color w:val="000000"/>
                <w:kern w:val="0"/>
                <w:sz w:val="17"/>
                <w:szCs w:val="17"/>
                <w:lang w:eastAsia="zh-CN"/>
              </w:rPr>
            </w:pPr>
            <w:r w:rsidRPr="00E96905">
              <w:rPr>
                <w:rFonts w:eastAsia="Times New Roman"/>
                <w:color w:val="000000"/>
                <w:kern w:val="0"/>
                <w:sz w:val="17"/>
                <w:szCs w:val="17"/>
                <w:lang w:eastAsia="zh-CN"/>
              </w:rPr>
              <w:t>1 P-3 from subprogramme 2 to subprogramme</w:t>
            </w:r>
            <w:r>
              <w:rPr>
                <w:rFonts w:eastAsia="Times New Roman"/>
                <w:color w:val="000000"/>
                <w:kern w:val="0"/>
                <w:sz w:val="17"/>
                <w:szCs w:val="17"/>
                <w:lang w:eastAsia="zh-CN"/>
              </w:rPr>
              <w:t xml:space="preserve"> 4</w:t>
            </w:r>
          </w:p>
          <w:p w14:paraId="39CAA332" w14:textId="77777777" w:rsidR="003F2E7C" w:rsidRPr="00E96905" w:rsidRDefault="003F2E7C" w:rsidP="00206464">
            <w:pPr>
              <w:tabs>
                <w:tab w:val="left" w:pos="288"/>
                <w:tab w:val="left" w:pos="576"/>
                <w:tab w:val="left" w:pos="864"/>
                <w:tab w:val="left" w:pos="1152"/>
              </w:tabs>
              <w:spacing w:before="40" w:after="40" w:line="210" w:lineRule="exact"/>
              <w:ind w:left="144" w:right="40"/>
              <w:rPr>
                <w:rFonts w:eastAsia="Times New Roman"/>
                <w:color w:val="000000"/>
                <w:kern w:val="0"/>
                <w:sz w:val="17"/>
                <w:szCs w:val="17"/>
                <w:lang w:val="en-US" w:eastAsia="zh-CN"/>
              </w:rPr>
            </w:pPr>
            <w:r w:rsidRPr="00E96905">
              <w:rPr>
                <w:rFonts w:eastAsia="Times New Roman"/>
                <w:color w:val="000000" w:themeColor="text1"/>
                <w:sz w:val="17"/>
                <w:szCs w:val="17"/>
                <w:lang w:eastAsia="zh-CN"/>
              </w:rPr>
              <w:t>1 P-3 from subprogramme 3 to subprogramme 4</w:t>
            </w:r>
          </w:p>
        </w:tc>
      </w:tr>
      <w:tr w:rsidR="003F2E7C" w:rsidRPr="00E96905" w14:paraId="32E59D68" w14:textId="77777777" w:rsidTr="00206464">
        <w:trPr>
          <w:trHeight w:val="20"/>
          <w:jc w:val="center"/>
        </w:trPr>
        <w:tc>
          <w:tcPr>
            <w:tcW w:w="1980" w:type="dxa"/>
            <w:tcBorders>
              <w:bottom w:val="single" w:sz="12" w:space="0" w:color="auto"/>
            </w:tcBorders>
            <w:shd w:val="clear" w:color="auto" w:fill="auto"/>
            <w:vAlign w:val="bottom"/>
            <w:hideMark/>
          </w:tcPr>
          <w:p w14:paraId="0BCFC39C"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kern w:val="0"/>
                <w:sz w:val="17"/>
                <w:szCs w:val="17"/>
                <w:lang w:val="en-US" w:eastAsia="zh-CN"/>
              </w:rPr>
            </w:pPr>
            <w:r w:rsidRPr="00E96905">
              <w:rPr>
                <w:rFonts w:eastAsia="Times New Roman"/>
                <w:color w:val="000000"/>
                <w:kern w:val="0"/>
                <w:sz w:val="17"/>
                <w:lang w:eastAsia="zh-CN"/>
              </w:rPr>
              <w:t>Proposed for 2022</w:t>
            </w:r>
          </w:p>
        </w:tc>
        <w:tc>
          <w:tcPr>
            <w:tcW w:w="1071" w:type="dxa"/>
            <w:tcBorders>
              <w:bottom w:val="single" w:sz="12" w:space="0" w:color="auto"/>
            </w:tcBorders>
            <w:shd w:val="clear" w:color="auto" w:fill="auto"/>
            <w:vAlign w:val="bottom"/>
          </w:tcPr>
          <w:p w14:paraId="3C8FFA6F" w14:textId="77777777" w:rsidR="003F2E7C" w:rsidRPr="00E96905" w:rsidRDefault="003F2E7C" w:rsidP="00206464">
            <w:pPr>
              <w:tabs>
                <w:tab w:val="left" w:pos="288"/>
                <w:tab w:val="left" w:pos="576"/>
                <w:tab w:val="left" w:pos="864"/>
                <w:tab w:val="left" w:pos="1152"/>
              </w:tabs>
              <w:spacing w:before="40" w:after="40" w:line="210" w:lineRule="exact"/>
              <w:ind w:left="144" w:right="40" w:firstLineChars="100" w:firstLine="178"/>
              <w:jc w:val="right"/>
              <w:rPr>
                <w:rFonts w:eastAsia="Times New Roman"/>
                <w:color w:val="000000"/>
                <w:kern w:val="0"/>
                <w:sz w:val="17"/>
                <w:szCs w:val="17"/>
                <w:lang w:val="en-US" w:eastAsia="zh-CN"/>
              </w:rPr>
            </w:pPr>
            <w:r w:rsidRPr="00E96905">
              <w:rPr>
                <w:rFonts w:eastAsia="Times New Roman"/>
                <w:color w:val="000000"/>
                <w:kern w:val="0"/>
                <w:sz w:val="17"/>
                <w:szCs w:val="17"/>
                <w:lang w:val="en-US" w:eastAsia="zh-CN"/>
              </w:rPr>
              <w:t>75</w:t>
            </w:r>
          </w:p>
        </w:tc>
        <w:tc>
          <w:tcPr>
            <w:tcW w:w="6798" w:type="dxa"/>
            <w:tcBorders>
              <w:bottom w:val="single" w:sz="12" w:space="0" w:color="auto"/>
            </w:tcBorders>
            <w:shd w:val="clear" w:color="auto" w:fill="auto"/>
            <w:vAlign w:val="bottom"/>
          </w:tcPr>
          <w:p w14:paraId="7A874817" w14:textId="77777777" w:rsidR="003F2E7C" w:rsidRPr="00E96905" w:rsidRDefault="003F2E7C" w:rsidP="00206464">
            <w:pPr>
              <w:tabs>
                <w:tab w:val="left" w:pos="288"/>
                <w:tab w:val="left" w:pos="576"/>
                <w:tab w:val="left" w:pos="864"/>
                <w:tab w:val="left" w:pos="1152"/>
              </w:tabs>
              <w:spacing w:before="40" w:after="40" w:line="210" w:lineRule="exact"/>
              <w:ind w:left="144" w:right="40"/>
              <w:rPr>
                <w:rFonts w:eastAsia="Times New Roman"/>
                <w:color w:val="000000"/>
                <w:kern w:val="0"/>
                <w:sz w:val="17"/>
                <w:szCs w:val="17"/>
                <w:lang w:val="en-US" w:eastAsia="zh-CN"/>
              </w:rPr>
            </w:pPr>
            <w:r w:rsidRPr="00E96905">
              <w:rPr>
                <w:rFonts w:eastAsia="Times New Roman"/>
                <w:color w:val="000000"/>
                <w:kern w:val="0"/>
                <w:sz w:val="17"/>
                <w:szCs w:val="17"/>
                <w:lang w:val="en-US" w:eastAsia="zh-CN"/>
              </w:rPr>
              <w:t>1 USG, 1 D-2, 4 D-1, 9 P-5, 17 P-4, 14 P-3, 5 P-2/1, 2 GS (OL), 22 LL</w:t>
            </w:r>
          </w:p>
        </w:tc>
      </w:tr>
    </w:tbl>
    <w:p w14:paraId="2DD46CC8" w14:textId="77777777" w:rsidR="003F2E7C" w:rsidRPr="00E96905" w:rsidRDefault="003F2E7C" w:rsidP="003F2E7C">
      <w:pPr>
        <w:pStyle w:val="SingleTxt"/>
        <w:spacing w:after="0" w:line="120" w:lineRule="exact"/>
        <w:rPr>
          <w:sz w:val="10"/>
        </w:rPr>
      </w:pPr>
    </w:p>
    <w:p w14:paraId="495E11DE" w14:textId="77777777" w:rsidR="003F2E7C" w:rsidRPr="00E96905" w:rsidRDefault="003F2E7C" w:rsidP="003F2E7C">
      <w:pPr>
        <w:pStyle w:val="FootnoteText"/>
        <w:tabs>
          <w:tab w:val="clear" w:pos="418"/>
          <w:tab w:val="right" w:pos="216"/>
          <w:tab w:val="left" w:pos="288"/>
          <w:tab w:val="right" w:pos="576"/>
          <w:tab w:val="left" w:pos="648"/>
        </w:tabs>
        <w:ind w:left="288" w:hanging="288"/>
      </w:pPr>
      <w:r w:rsidRPr="00E96905">
        <w:rPr>
          <w:i/>
          <w:iCs/>
        </w:rPr>
        <w:tab/>
      </w:r>
      <w:r w:rsidRPr="00E96905">
        <w:rPr>
          <w:i/>
          <w:iCs/>
          <w:vertAlign w:val="superscript"/>
        </w:rPr>
        <w:t>a</w:t>
      </w:r>
      <w:r w:rsidRPr="00E96905">
        <w:tab/>
        <w:t>More information on post changes is reflected in annex III.</w:t>
      </w:r>
    </w:p>
    <w:p w14:paraId="38E049FD" w14:textId="77777777" w:rsidR="003F2E7C" w:rsidRPr="00E96905" w:rsidRDefault="003F2E7C" w:rsidP="003F2E7C">
      <w:pPr>
        <w:pStyle w:val="SingleTxt"/>
        <w:spacing w:after="0" w:line="120" w:lineRule="exact"/>
        <w:rPr>
          <w:sz w:val="10"/>
        </w:rPr>
      </w:pPr>
    </w:p>
    <w:p w14:paraId="0F834EAC" w14:textId="77777777" w:rsidR="003F2E7C" w:rsidRPr="00E96905" w:rsidRDefault="003F2E7C" w:rsidP="003F2E7C">
      <w:pPr>
        <w:pStyle w:val="SingleTxt"/>
        <w:spacing w:after="0" w:line="120" w:lineRule="exact"/>
        <w:rPr>
          <w:sz w:val="10"/>
        </w:rPr>
      </w:pPr>
    </w:p>
    <w:p w14:paraId="3B6DD535" w14:textId="77777777" w:rsidR="003F2E7C" w:rsidRPr="00E96905" w:rsidRDefault="003F2E7C" w:rsidP="003F2E7C">
      <w:pPr>
        <w:suppressAutoHyphens w:val="0"/>
        <w:spacing w:after="200" w:line="276" w:lineRule="auto"/>
      </w:pPr>
      <w:r w:rsidRPr="00E96905">
        <w:br w:type="page"/>
      </w:r>
    </w:p>
    <w:p w14:paraId="7F9918FC" w14:textId="77777777" w:rsidR="003F2E7C" w:rsidRPr="00E96905" w:rsidRDefault="003F2E7C" w:rsidP="003F2E7C">
      <w:r w:rsidRPr="00E96905">
        <w:lastRenderedPageBreak/>
        <w:t>Table 15.13</w:t>
      </w:r>
    </w:p>
    <w:p w14:paraId="2F60675F" w14:textId="6ABB40B8"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 xml:space="preserve">Overall: proposed posts by category and grade </w:t>
      </w:r>
    </w:p>
    <w:p w14:paraId="206A69AD"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rsidRPr="00E96905">
        <w:rPr>
          <w:b w:val="0"/>
          <w:bCs/>
          <w:sz w:val="14"/>
          <w:szCs w:val="14"/>
        </w:rPr>
        <w:t>(Number of posts)</w:t>
      </w:r>
    </w:p>
    <w:p w14:paraId="2D64D43C" w14:textId="77777777" w:rsidR="003F2E7C" w:rsidRPr="00E96905" w:rsidRDefault="003F2E7C" w:rsidP="003F2E7C">
      <w:pPr>
        <w:pStyle w:val="SingleTxt"/>
        <w:spacing w:after="0" w:line="120" w:lineRule="exact"/>
        <w:rPr>
          <w:sz w:val="10"/>
        </w:rPr>
      </w:pPr>
    </w:p>
    <w:p w14:paraId="102ED917" w14:textId="77777777" w:rsidR="003F2E7C" w:rsidRPr="00E96905" w:rsidRDefault="003F2E7C" w:rsidP="003F2E7C">
      <w:pPr>
        <w:pStyle w:val="SingleTxt"/>
        <w:spacing w:after="0" w:line="120" w:lineRule="exact"/>
        <w:rPr>
          <w:sz w:val="10"/>
        </w:rPr>
      </w:pPr>
    </w:p>
    <w:tbl>
      <w:tblPr>
        <w:tblW w:w="5000" w:type="pct"/>
        <w:jc w:val="center"/>
        <w:tblCellMar>
          <w:left w:w="0" w:type="dxa"/>
          <w:right w:w="0" w:type="dxa"/>
        </w:tblCellMar>
        <w:tblLook w:val="04A0" w:firstRow="1" w:lastRow="0" w:firstColumn="1" w:lastColumn="0" w:noHBand="0" w:noVBand="1"/>
      </w:tblPr>
      <w:tblGrid>
        <w:gridCol w:w="3299"/>
        <w:gridCol w:w="1093"/>
        <w:gridCol w:w="1235"/>
        <w:gridCol w:w="1412"/>
        <w:gridCol w:w="908"/>
        <w:gridCol w:w="902"/>
        <w:gridCol w:w="1001"/>
      </w:tblGrid>
      <w:tr w:rsidR="003F2E7C" w:rsidRPr="00E96905" w14:paraId="3E848621" w14:textId="77777777" w:rsidTr="00206464">
        <w:trPr>
          <w:trHeight w:val="20"/>
          <w:tblHeader/>
          <w:jc w:val="center"/>
        </w:trPr>
        <w:tc>
          <w:tcPr>
            <w:tcW w:w="1674" w:type="pct"/>
            <w:tcBorders>
              <w:top w:val="single" w:sz="4" w:space="0" w:color="auto"/>
            </w:tcBorders>
            <w:shd w:val="clear" w:color="auto" w:fill="auto"/>
            <w:vAlign w:val="bottom"/>
          </w:tcPr>
          <w:p w14:paraId="704B1248" w14:textId="77777777" w:rsidR="003F2E7C" w:rsidRPr="00E96905" w:rsidRDefault="003F2E7C" w:rsidP="00206464">
            <w:pPr>
              <w:keepNext/>
              <w:keepLines/>
              <w:spacing w:before="81" w:after="81" w:line="160" w:lineRule="exact"/>
              <w:ind w:right="40"/>
              <w:rPr>
                <w:rFonts w:eastAsia="Times New Roman"/>
                <w:i/>
                <w:iCs/>
                <w:color w:val="000000"/>
                <w:kern w:val="0"/>
                <w:sz w:val="14"/>
                <w:lang w:eastAsia="zh-CN"/>
              </w:rPr>
            </w:pPr>
          </w:p>
        </w:tc>
        <w:tc>
          <w:tcPr>
            <w:tcW w:w="555" w:type="pct"/>
            <w:tcBorders>
              <w:top w:val="single" w:sz="4" w:space="0" w:color="auto"/>
            </w:tcBorders>
            <w:shd w:val="clear" w:color="auto" w:fill="auto"/>
            <w:vAlign w:val="bottom"/>
          </w:tcPr>
          <w:p w14:paraId="0B094693" w14:textId="77777777" w:rsidR="003F2E7C" w:rsidRPr="00E96905" w:rsidRDefault="003F2E7C" w:rsidP="00206464">
            <w:pPr>
              <w:keepNext/>
              <w:keepLines/>
              <w:spacing w:before="81" w:after="81" w:line="160" w:lineRule="exact"/>
              <w:ind w:left="144" w:right="40" w:firstLineChars="100" w:firstLine="147"/>
              <w:jc w:val="right"/>
              <w:rPr>
                <w:rFonts w:eastAsia="Times New Roman"/>
                <w:i/>
                <w:iCs/>
                <w:color w:val="000000"/>
                <w:kern w:val="0"/>
                <w:sz w:val="14"/>
                <w:szCs w:val="14"/>
                <w:lang w:val="en-US" w:eastAsia="zh-CN"/>
              </w:rPr>
            </w:pPr>
          </w:p>
        </w:tc>
        <w:tc>
          <w:tcPr>
            <w:tcW w:w="2263" w:type="pct"/>
            <w:gridSpan w:val="4"/>
            <w:tcBorders>
              <w:top w:val="single" w:sz="4" w:space="0" w:color="auto"/>
              <w:bottom w:val="single" w:sz="4" w:space="0" w:color="auto"/>
            </w:tcBorders>
            <w:shd w:val="clear" w:color="auto" w:fill="auto"/>
            <w:vAlign w:val="bottom"/>
          </w:tcPr>
          <w:p w14:paraId="7DE536F6" w14:textId="77777777" w:rsidR="003F2E7C" w:rsidRPr="00E96905" w:rsidRDefault="003F2E7C" w:rsidP="00206464">
            <w:pPr>
              <w:keepNext/>
              <w:keepLines/>
              <w:spacing w:before="81" w:after="81" w:line="160" w:lineRule="exact"/>
              <w:ind w:left="144" w:right="40"/>
              <w:jc w:val="center"/>
              <w:rPr>
                <w:rFonts w:eastAsia="Times New Roman"/>
                <w:i/>
                <w:iCs/>
                <w:color w:val="000000"/>
                <w:kern w:val="0"/>
                <w:sz w:val="14"/>
                <w:szCs w:val="16"/>
                <w:lang w:eastAsia="zh-CN"/>
              </w:rPr>
            </w:pPr>
            <w:r w:rsidRPr="00E96905">
              <w:rPr>
                <w:rFonts w:eastAsia="Times New Roman"/>
                <w:i/>
                <w:iCs/>
                <w:color w:val="000000"/>
                <w:kern w:val="0"/>
                <w:sz w:val="14"/>
                <w:szCs w:val="16"/>
                <w:lang w:eastAsia="zh-CN"/>
              </w:rPr>
              <w:t>Changes</w:t>
            </w:r>
          </w:p>
        </w:tc>
        <w:tc>
          <w:tcPr>
            <w:tcW w:w="508" w:type="pct"/>
            <w:tcBorders>
              <w:top w:val="single" w:sz="4" w:space="0" w:color="auto"/>
            </w:tcBorders>
            <w:shd w:val="clear" w:color="auto" w:fill="auto"/>
            <w:vAlign w:val="bottom"/>
          </w:tcPr>
          <w:p w14:paraId="5D7A7918" w14:textId="77777777" w:rsidR="003F2E7C" w:rsidRPr="00E96905" w:rsidRDefault="003F2E7C" w:rsidP="00206464">
            <w:pPr>
              <w:keepNext/>
              <w:keepLines/>
              <w:spacing w:before="81" w:after="81" w:line="160" w:lineRule="exact"/>
              <w:ind w:left="144" w:right="40" w:firstLineChars="100" w:firstLine="147"/>
              <w:jc w:val="right"/>
              <w:rPr>
                <w:rFonts w:eastAsia="Times New Roman"/>
                <w:i/>
                <w:iCs/>
                <w:color w:val="000000"/>
                <w:kern w:val="0"/>
                <w:sz w:val="14"/>
                <w:szCs w:val="14"/>
                <w:lang w:val="en-US" w:eastAsia="zh-CN"/>
              </w:rPr>
            </w:pPr>
          </w:p>
        </w:tc>
      </w:tr>
      <w:tr w:rsidR="003F2E7C" w:rsidRPr="00E96905" w14:paraId="6B7FC504" w14:textId="77777777" w:rsidTr="00206464">
        <w:trPr>
          <w:trHeight w:val="20"/>
          <w:tblHeader/>
          <w:jc w:val="center"/>
        </w:trPr>
        <w:tc>
          <w:tcPr>
            <w:tcW w:w="1674" w:type="pct"/>
            <w:tcBorders>
              <w:bottom w:val="single" w:sz="12" w:space="0" w:color="auto"/>
            </w:tcBorders>
            <w:shd w:val="clear" w:color="auto" w:fill="auto"/>
            <w:vAlign w:val="bottom"/>
            <w:hideMark/>
          </w:tcPr>
          <w:p w14:paraId="7D1A75DA" w14:textId="77777777" w:rsidR="003F2E7C" w:rsidRPr="00E96905" w:rsidRDefault="003F2E7C" w:rsidP="00206464">
            <w:pPr>
              <w:keepNext/>
              <w:keepLines/>
              <w:spacing w:before="81" w:after="81" w:line="160" w:lineRule="exact"/>
              <w:ind w:right="40"/>
              <w:rPr>
                <w:rFonts w:eastAsia="Times New Roman"/>
                <w:i/>
                <w:iCs/>
                <w:color w:val="000000"/>
                <w:kern w:val="0"/>
                <w:sz w:val="14"/>
                <w:szCs w:val="14"/>
                <w:lang w:val="en-US" w:eastAsia="zh-CN"/>
              </w:rPr>
            </w:pPr>
            <w:r w:rsidRPr="00E96905">
              <w:rPr>
                <w:rFonts w:eastAsia="Times New Roman"/>
                <w:i/>
                <w:iCs/>
                <w:color w:val="000000"/>
                <w:kern w:val="0"/>
                <w:sz w:val="14"/>
                <w:lang w:eastAsia="zh-CN"/>
              </w:rPr>
              <w:t>Category and grade</w:t>
            </w:r>
          </w:p>
        </w:tc>
        <w:tc>
          <w:tcPr>
            <w:tcW w:w="555" w:type="pct"/>
            <w:tcBorders>
              <w:bottom w:val="single" w:sz="12" w:space="0" w:color="auto"/>
            </w:tcBorders>
            <w:shd w:val="clear" w:color="auto" w:fill="auto"/>
            <w:vAlign w:val="bottom"/>
            <w:hideMark/>
          </w:tcPr>
          <w:p w14:paraId="7B28328A" w14:textId="77777777" w:rsidR="003F2E7C" w:rsidRPr="00E96905" w:rsidRDefault="003F2E7C" w:rsidP="00206464">
            <w:pPr>
              <w:keepNext/>
              <w:keepLines/>
              <w:spacing w:before="81" w:after="81" w:line="160" w:lineRule="exact"/>
              <w:ind w:left="144" w:right="40" w:firstLineChars="100" w:firstLine="147"/>
              <w:jc w:val="right"/>
              <w:rPr>
                <w:rFonts w:eastAsia="Times New Roman"/>
                <w:i/>
                <w:iCs/>
                <w:color w:val="000000"/>
                <w:kern w:val="0"/>
                <w:sz w:val="14"/>
                <w:szCs w:val="14"/>
                <w:lang w:val="en-US" w:eastAsia="zh-CN"/>
              </w:rPr>
            </w:pPr>
            <w:r w:rsidRPr="00E96905">
              <w:rPr>
                <w:rFonts w:eastAsia="Times New Roman"/>
                <w:i/>
                <w:iCs/>
                <w:color w:val="000000"/>
                <w:kern w:val="0"/>
                <w:sz w:val="14"/>
                <w:szCs w:val="14"/>
                <w:lang w:val="en-US" w:eastAsia="zh-CN"/>
              </w:rPr>
              <w:t xml:space="preserve">2021 approved </w:t>
            </w:r>
          </w:p>
        </w:tc>
        <w:tc>
          <w:tcPr>
            <w:tcW w:w="627" w:type="pct"/>
            <w:tcBorders>
              <w:top w:val="single" w:sz="4" w:space="0" w:color="auto"/>
              <w:bottom w:val="single" w:sz="12" w:space="0" w:color="auto"/>
            </w:tcBorders>
            <w:shd w:val="clear" w:color="auto" w:fill="auto"/>
            <w:vAlign w:val="bottom"/>
            <w:hideMark/>
          </w:tcPr>
          <w:p w14:paraId="5027CC32" w14:textId="77777777" w:rsidR="003F2E7C" w:rsidRPr="00E96905" w:rsidRDefault="003F2E7C" w:rsidP="00206464">
            <w:pPr>
              <w:keepNext/>
              <w:keepLines/>
              <w:spacing w:before="81" w:after="81" w:line="160" w:lineRule="exact"/>
              <w:ind w:left="144" w:right="40"/>
              <w:jc w:val="right"/>
              <w:rPr>
                <w:rFonts w:eastAsia="Times New Roman"/>
                <w:i/>
                <w:iCs/>
                <w:color w:val="000000"/>
                <w:kern w:val="0"/>
                <w:sz w:val="14"/>
                <w:szCs w:val="14"/>
                <w:lang w:val="en-US" w:eastAsia="zh-CN"/>
              </w:rPr>
            </w:pPr>
            <w:r w:rsidRPr="00E96905">
              <w:rPr>
                <w:rFonts w:eastAsia="Times New Roman"/>
                <w:i/>
                <w:iCs/>
                <w:color w:val="000000"/>
                <w:kern w:val="0"/>
                <w:sz w:val="14"/>
                <w:lang w:eastAsia="zh-CN"/>
              </w:rPr>
              <w:t xml:space="preserve">Technical adjustments </w:t>
            </w:r>
          </w:p>
        </w:tc>
        <w:tc>
          <w:tcPr>
            <w:tcW w:w="717" w:type="pct"/>
            <w:tcBorders>
              <w:top w:val="single" w:sz="4" w:space="0" w:color="auto"/>
              <w:bottom w:val="single" w:sz="12" w:space="0" w:color="auto"/>
            </w:tcBorders>
            <w:shd w:val="clear" w:color="auto" w:fill="auto"/>
            <w:vAlign w:val="bottom"/>
            <w:hideMark/>
          </w:tcPr>
          <w:p w14:paraId="21D181F1" w14:textId="77777777" w:rsidR="003F2E7C" w:rsidRPr="00E96905" w:rsidRDefault="003F2E7C" w:rsidP="00206464">
            <w:pPr>
              <w:keepNext/>
              <w:keepLines/>
              <w:spacing w:before="81" w:after="81" w:line="160" w:lineRule="exact"/>
              <w:ind w:left="144" w:right="40"/>
              <w:jc w:val="right"/>
              <w:rPr>
                <w:rFonts w:eastAsia="Times New Roman"/>
                <w:i/>
                <w:iCs/>
                <w:color w:val="000000"/>
                <w:kern w:val="0"/>
                <w:sz w:val="14"/>
                <w:szCs w:val="14"/>
                <w:lang w:val="en-US" w:eastAsia="zh-CN"/>
              </w:rPr>
            </w:pPr>
            <w:r w:rsidRPr="00E96905">
              <w:rPr>
                <w:rFonts w:eastAsia="Times New Roman"/>
                <w:i/>
                <w:iCs/>
                <w:color w:val="000000"/>
                <w:kern w:val="0"/>
                <w:sz w:val="14"/>
                <w:lang w:eastAsia="zh-CN"/>
              </w:rPr>
              <w:t xml:space="preserve">New/expanded mandates </w:t>
            </w:r>
          </w:p>
        </w:tc>
        <w:tc>
          <w:tcPr>
            <w:tcW w:w="461" w:type="pct"/>
            <w:tcBorders>
              <w:top w:val="single" w:sz="4" w:space="0" w:color="auto"/>
              <w:bottom w:val="single" w:sz="12" w:space="0" w:color="auto"/>
            </w:tcBorders>
            <w:shd w:val="clear" w:color="auto" w:fill="auto"/>
            <w:vAlign w:val="bottom"/>
            <w:hideMark/>
          </w:tcPr>
          <w:p w14:paraId="7D72C3FA" w14:textId="77777777" w:rsidR="003F2E7C" w:rsidRPr="00E96905" w:rsidRDefault="003F2E7C" w:rsidP="00206464">
            <w:pPr>
              <w:keepNext/>
              <w:keepLines/>
              <w:spacing w:before="81" w:after="81" w:line="160" w:lineRule="exact"/>
              <w:ind w:left="144" w:right="40"/>
              <w:jc w:val="right"/>
              <w:rPr>
                <w:rFonts w:eastAsia="Times New Roman"/>
                <w:i/>
                <w:iCs/>
                <w:color w:val="000000"/>
                <w:kern w:val="0"/>
                <w:sz w:val="14"/>
                <w:szCs w:val="14"/>
                <w:lang w:val="en-US" w:eastAsia="zh-CN"/>
              </w:rPr>
            </w:pPr>
            <w:r w:rsidRPr="00E96905">
              <w:rPr>
                <w:rFonts w:eastAsia="Times New Roman"/>
                <w:i/>
                <w:iCs/>
                <w:color w:val="000000"/>
                <w:kern w:val="0"/>
                <w:sz w:val="14"/>
                <w:lang w:eastAsia="zh-CN"/>
              </w:rPr>
              <w:t xml:space="preserve">Other </w:t>
            </w:r>
          </w:p>
        </w:tc>
        <w:tc>
          <w:tcPr>
            <w:tcW w:w="458" w:type="pct"/>
            <w:tcBorders>
              <w:top w:val="single" w:sz="4" w:space="0" w:color="auto"/>
              <w:bottom w:val="single" w:sz="12" w:space="0" w:color="auto"/>
            </w:tcBorders>
            <w:shd w:val="clear" w:color="auto" w:fill="auto"/>
            <w:vAlign w:val="bottom"/>
            <w:hideMark/>
          </w:tcPr>
          <w:p w14:paraId="36D54E53" w14:textId="77777777" w:rsidR="003F2E7C" w:rsidRPr="00E96905" w:rsidRDefault="003F2E7C" w:rsidP="00206464">
            <w:pPr>
              <w:keepNext/>
              <w:keepLines/>
              <w:spacing w:before="81" w:after="81" w:line="160" w:lineRule="exact"/>
              <w:ind w:left="144" w:right="40"/>
              <w:jc w:val="right"/>
              <w:rPr>
                <w:rFonts w:eastAsia="Times New Roman"/>
                <w:i/>
                <w:iCs/>
                <w:color w:val="000000"/>
                <w:kern w:val="0"/>
                <w:sz w:val="14"/>
                <w:szCs w:val="14"/>
                <w:lang w:val="en-US" w:eastAsia="zh-CN"/>
              </w:rPr>
            </w:pPr>
            <w:r w:rsidRPr="00E96905">
              <w:rPr>
                <w:rFonts w:eastAsia="Times New Roman"/>
                <w:i/>
                <w:iCs/>
                <w:color w:val="000000"/>
                <w:kern w:val="0"/>
                <w:sz w:val="14"/>
                <w:szCs w:val="16"/>
                <w:lang w:eastAsia="zh-CN"/>
              </w:rPr>
              <w:t xml:space="preserve">Total </w:t>
            </w:r>
          </w:p>
        </w:tc>
        <w:tc>
          <w:tcPr>
            <w:tcW w:w="508" w:type="pct"/>
            <w:tcBorders>
              <w:bottom w:val="single" w:sz="12" w:space="0" w:color="auto"/>
            </w:tcBorders>
            <w:shd w:val="clear" w:color="auto" w:fill="auto"/>
            <w:vAlign w:val="bottom"/>
            <w:hideMark/>
          </w:tcPr>
          <w:p w14:paraId="302A8D69" w14:textId="77777777" w:rsidR="003F2E7C" w:rsidRPr="00E96905" w:rsidRDefault="003F2E7C" w:rsidP="00206464">
            <w:pPr>
              <w:keepNext/>
              <w:keepLines/>
              <w:spacing w:before="81" w:after="81" w:line="160" w:lineRule="exact"/>
              <w:ind w:left="144" w:right="40" w:firstLineChars="100" w:firstLine="147"/>
              <w:jc w:val="right"/>
              <w:rPr>
                <w:rFonts w:eastAsia="Times New Roman"/>
                <w:i/>
                <w:iCs/>
                <w:color w:val="000000"/>
                <w:kern w:val="0"/>
                <w:sz w:val="14"/>
                <w:szCs w:val="14"/>
                <w:lang w:val="en-US" w:eastAsia="zh-CN"/>
              </w:rPr>
            </w:pPr>
            <w:r w:rsidRPr="00E96905">
              <w:rPr>
                <w:rFonts w:eastAsia="Times New Roman"/>
                <w:i/>
                <w:iCs/>
                <w:color w:val="000000"/>
                <w:kern w:val="0"/>
                <w:sz w:val="14"/>
                <w:szCs w:val="14"/>
                <w:lang w:val="en-US" w:eastAsia="zh-CN"/>
              </w:rPr>
              <w:t>2022 proposed</w:t>
            </w:r>
          </w:p>
        </w:tc>
      </w:tr>
      <w:tr w:rsidR="003F2E7C" w:rsidRPr="00E96905" w14:paraId="2FCA3E3B" w14:textId="77777777" w:rsidTr="00206464">
        <w:trPr>
          <w:trHeight w:hRule="exact" w:val="115"/>
          <w:tblHeader/>
          <w:jc w:val="center"/>
        </w:trPr>
        <w:tc>
          <w:tcPr>
            <w:tcW w:w="1674" w:type="pct"/>
            <w:tcBorders>
              <w:top w:val="single" w:sz="12" w:space="0" w:color="auto"/>
            </w:tcBorders>
            <w:shd w:val="clear" w:color="auto" w:fill="auto"/>
            <w:vAlign w:val="bottom"/>
          </w:tcPr>
          <w:p w14:paraId="1FB61C6C" w14:textId="77777777" w:rsidR="003F2E7C" w:rsidRPr="00E96905" w:rsidRDefault="003F2E7C" w:rsidP="00206464">
            <w:pPr>
              <w:keepNext/>
              <w:keepLines/>
              <w:spacing w:before="40" w:after="40" w:line="210" w:lineRule="exact"/>
              <w:ind w:right="40"/>
              <w:rPr>
                <w:rFonts w:eastAsia="Times New Roman"/>
                <w:b/>
                <w:bCs/>
                <w:color w:val="000000"/>
                <w:kern w:val="0"/>
                <w:sz w:val="17"/>
                <w:lang w:eastAsia="zh-CN"/>
              </w:rPr>
            </w:pPr>
          </w:p>
        </w:tc>
        <w:tc>
          <w:tcPr>
            <w:tcW w:w="555" w:type="pct"/>
            <w:tcBorders>
              <w:top w:val="single" w:sz="12" w:space="0" w:color="auto"/>
            </w:tcBorders>
            <w:shd w:val="clear" w:color="auto" w:fill="auto"/>
            <w:vAlign w:val="bottom"/>
          </w:tcPr>
          <w:p w14:paraId="286D195A" w14:textId="77777777" w:rsidR="003F2E7C" w:rsidRPr="00E96905" w:rsidRDefault="003F2E7C" w:rsidP="00206464">
            <w:pPr>
              <w:keepNext/>
              <w:keepLines/>
              <w:spacing w:before="40" w:after="40" w:line="210" w:lineRule="exact"/>
              <w:ind w:left="144" w:right="40"/>
              <w:jc w:val="right"/>
              <w:rPr>
                <w:rFonts w:eastAsia="Times New Roman"/>
                <w:b/>
                <w:bCs/>
                <w:color w:val="000000"/>
                <w:kern w:val="0"/>
                <w:sz w:val="17"/>
                <w:szCs w:val="17"/>
                <w:lang w:val="en-US" w:eastAsia="zh-CN"/>
              </w:rPr>
            </w:pPr>
          </w:p>
        </w:tc>
        <w:tc>
          <w:tcPr>
            <w:tcW w:w="627" w:type="pct"/>
            <w:tcBorders>
              <w:top w:val="single" w:sz="12" w:space="0" w:color="auto"/>
            </w:tcBorders>
            <w:shd w:val="clear" w:color="auto" w:fill="auto"/>
            <w:vAlign w:val="bottom"/>
          </w:tcPr>
          <w:p w14:paraId="7C725B6C" w14:textId="77777777" w:rsidR="003F2E7C" w:rsidRPr="00E96905" w:rsidRDefault="003F2E7C" w:rsidP="00206464">
            <w:pPr>
              <w:keepNext/>
              <w:keepLines/>
              <w:spacing w:before="40" w:after="40" w:line="210" w:lineRule="exact"/>
              <w:ind w:left="144" w:right="40" w:firstLineChars="100" w:firstLine="178"/>
              <w:jc w:val="right"/>
              <w:rPr>
                <w:rFonts w:eastAsia="Times New Roman"/>
                <w:kern w:val="0"/>
                <w:sz w:val="17"/>
                <w:lang w:val="en-US" w:eastAsia="zh-CN"/>
              </w:rPr>
            </w:pPr>
          </w:p>
        </w:tc>
        <w:tc>
          <w:tcPr>
            <w:tcW w:w="717" w:type="pct"/>
            <w:tcBorders>
              <w:top w:val="single" w:sz="12" w:space="0" w:color="auto"/>
            </w:tcBorders>
            <w:shd w:val="clear" w:color="auto" w:fill="auto"/>
            <w:vAlign w:val="bottom"/>
          </w:tcPr>
          <w:p w14:paraId="4A2A343F" w14:textId="77777777" w:rsidR="003F2E7C" w:rsidRPr="00E96905" w:rsidRDefault="003F2E7C" w:rsidP="00206464">
            <w:pPr>
              <w:keepNext/>
              <w:keepLines/>
              <w:spacing w:before="40" w:after="40" w:line="210" w:lineRule="exact"/>
              <w:ind w:left="144" w:right="40" w:firstLineChars="100" w:firstLine="178"/>
              <w:jc w:val="right"/>
              <w:rPr>
                <w:rFonts w:eastAsia="Times New Roman"/>
                <w:kern w:val="0"/>
                <w:sz w:val="17"/>
                <w:lang w:val="en-US" w:eastAsia="zh-CN"/>
              </w:rPr>
            </w:pPr>
          </w:p>
        </w:tc>
        <w:tc>
          <w:tcPr>
            <w:tcW w:w="461" w:type="pct"/>
            <w:tcBorders>
              <w:top w:val="single" w:sz="12" w:space="0" w:color="auto"/>
            </w:tcBorders>
            <w:shd w:val="clear" w:color="auto" w:fill="auto"/>
            <w:vAlign w:val="bottom"/>
          </w:tcPr>
          <w:p w14:paraId="50233206" w14:textId="77777777" w:rsidR="003F2E7C" w:rsidRPr="00E96905" w:rsidRDefault="003F2E7C" w:rsidP="00206464">
            <w:pPr>
              <w:keepNext/>
              <w:keepLines/>
              <w:spacing w:before="40" w:after="40" w:line="210" w:lineRule="exact"/>
              <w:ind w:left="144" w:right="40" w:firstLineChars="100" w:firstLine="178"/>
              <w:jc w:val="right"/>
              <w:rPr>
                <w:rFonts w:eastAsia="Times New Roman"/>
                <w:kern w:val="0"/>
                <w:sz w:val="17"/>
                <w:lang w:val="en-US" w:eastAsia="zh-CN"/>
              </w:rPr>
            </w:pPr>
          </w:p>
        </w:tc>
        <w:tc>
          <w:tcPr>
            <w:tcW w:w="458" w:type="pct"/>
            <w:tcBorders>
              <w:top w:val="single" w:sz="12" w:space="0" w:color="auto"/>
            </w:tcBorders>
            <w:shd w:val="clear" w:color="auto" w:fill="auto"/>
            <w:vAlign w:val="bottom"/>
          </w:tcPr>
          <w:p w14:paraId="7142E18D" w14:textId="77777777" w:rsidR="003F2E7C" w:rsidRPr="00E96905" w:rsidRDefault="003F2E7C" w:rsidP="00206464">
            <w:pPr>
              <w:keepNext/>
              <w:keepLines/>
              <w:spacing w:before="40" w:after="40" w:line="210" w:lineRule="exact"/>
              <w:ind w:left="144" w:right="40" w:firstLineChars="100" w:firstLine="178"/>
              <w:jc w:val="right"/>
              <w:rPr>
                <w:rFonts w:eastAsia="Times New Roman"/>
                <w:kern w:val="0"/>
                <w:sz w:val="17"/>
                <w:lang w:val="en-US" w:eastAsia="zh-CN"/>
              </w:rPr>
            </w:pPr>
          </w:p>
        </w:tc>
        <w:tc>
          <w:tcPr>
            <w:tcW w:w="508" w:type="pct"/>
            <w:tcBorders>
              <w:top w:val="single" w:sz="12" w:space="0" w:color="auto"/>
            </w:tcBorders>
            <w:shd w:val="clear" w:color="auto" w:fill="auto"/>
            <w:vAlign w:val="bottom"/>
          </w:tcPr>
          <w:p w14:paraId="2DD3C21A" w14:textId="77777777" w:rsidR="003F2E7C" w:rsidRPr="00E96905" w:rsidRDefault="003F2E7C" w:rsidP="00206464">
            <w:pPr>
              <w:keepNext/>
              <w:keepLines/>
              <w:spacing w:before="40" w:after="40" w:line="210" w:lineRule="exact"/>
              <w:ind w:left="144" w:right="40" w:firstLineChars="100" w:firstLine="178"/>
              <w:jc w:val="right"/>
              <w:rPr>
                <w:rFonts w:eastAsia="Times New Roman"/>
                <w:kern w:val="0"/>
                <w:sz w:val="17"/>
                <w:lang w:val="en-US" w:eastAsia="zh-CN"/>
              </w:rPr>
            </w:pPr>
          </w:p>
        </w:tc>
      </w:tr>
      <w:tr w:rsidR="003F2E7C" w:rsidRPr="00E96905" w14:paraId="6E48E4E5" w14:textId="77777777" w:rsidTr="00206464">
        <w:trPr>
          <w:trHeight w:val="20"/>
          <w:jc w:val="center"/>
        </w:trPr>
        <w:tc>
          <w:tcPr>
            <w:tcW w:w="1674" w:type="pct"/>
            <w:shd w:val="clear" w:color="auto" w:fill="auto"/>
            <w:vAlign w:val="bottom"/>
            <w:hideMark/>
          </w:tcPr>
          <w:p w14:paraId="7CC22EA7" w14:textId="77777777" w:rsidR="003F2E7C" w:rsidRPr="00E96905" w:rsidRDefault="003F2E7C" w:rsidP="00206464">
            <w:pPr>
              <w:keepNext/>
              <w:keepLines/>
              <w:tabs>
                <w:tab w:val="left" w:pos="288"/>
                <w:tab w:val="left" w:pos="576"/>
                <w:tab w:val="left" w:pos="864"/>
                <w:tab w:val="left" w:pos="1152"/>
              </w:tabs>
              <w:spacing w:before="40" w:after="40" w:line="210" w:lineRule="exact"/>
              <w:ind w:right="40"/>
              <w:rPr>
                <w:rFonts w:eastAsia="Times New Roman"/>
                <w:b/>
                <w:bCs/>
                <w:color w:val="000000"/>
                <w:kern w:val="0"/>
                <w:sz w:val="17"/>
                <w:szCs w:val="17"/>
                <w:lang w:val="en-US" w:eastAsia="zh-CN"/>
              </w:rPr>
            </w:pPr>
            <w:r w:rsidRPr="00E96905">
              <w:rPr>
                <w:rFonts w:eastAsia="Times New Roman"/>
                <w:b/>
                <w:bCs/>
                <w:color w:val="000000"/>
                <w:kern w:val="0"/>
                <w:sz w:val="17"/>
                <w:lang w:eastAsia="zh-CN"/>
              </w:rPr>
              <w:t>Professional and higher</w:t>
            </w:r>
          </w:p>
        </w:tc>
        <w:tc>
          <w:tcPr>
            <w:tcW w:w="555" w:type="pct"/>
            <w:shd w:val="clear" w:color="auto" w:fill="auto"/>
            <w:vAlign w:val="bottom"/>
            <w:hideMark/>
          </w:tcPr>
          <w:p w14:paraId="4084B8F9"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jc w:val="right"/>
              <w:rPr>
                <w:rFonts w:eastAsia="Times New Roman"/>
                <w:b/>
                <w:bCs/>
                <w:color w:val="000000"/>
                <w:kern w:val="0"/>
                <w:sz w:val="17"/>
                <w:szCs w:val="17"/>
                <w:lang w:val="en-US" w:eastAsia="zh-CN"/>
              </w:rPr>
            </w:pPr>
          </w:p>
        </w:tc>
        <w:tc>
          <w:tcPr>
            <w:tcW w:w="627" w:type="pct"/>
            <w:shd w:val="clear" w:color="auto" w:fill="auto"/>
            <w:vAlign w:val="bottom"/>
            <w:hideMark/>
          </w:tcPr>
          <w:p w14:paraId="3EB90F7C"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firstLineChars="100" w:firstLine="178"/>
              <w:jc w:val="right"/>
              <w:rPr>
                <w:rFonts w:eastAsia="Times New Roman"/>
                <w:kern w:val="0"/>
                <w:sz w:val="17"/>
                <w:lang w:val="en-US" w:eastAsia="zh-CN"/>
              </w:rPr>
            </w:pPr>
          </w:p>
        </w:tc>
        <w:tc>
          <w:tcPr>
            <w:tcW w:w="717" w:type="pct"/>
            <w:shd w:val="clear" w:color="auto" w:fill="auto"/>
            <w:vAlign w:val="bottom"/>
            <w:hideMark/>
          </w:tcPr>
          <w:p w14:paraId="5C93D885"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firstLineChars="100" w:firstLine="178"/>
              <w:jc w:val="right"/>
              <w:rPr>
                <w:rFonts w:eastAsia="Times New Roman"/>
                <w:kern w:val="0"/>
                <w:sz w:val="17"/>
                <w:lang w:val="en-US" w:eastAsia="zh-CN"/>
              </w:rPr>
            </w:pPr>
          </w:p>
        </w:tc>
        <w:tc>
          <w:tcPr>
            <w:tcW w:w="461" w:type="pct"/>
            <w:shd w:val="clear" w:color="auto" w:fill="auto"/>
            <w:vAlign w:val="bottom"/>
            <w:hideMark/>
          </w:tcPr>
          <w:p w14:paraId="2EE6434E"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firstLineChars="100" w:firstLine="178"/>
              <w:jc w:val="right"/>
              <w:rPr>
                <w:rFonts w:eastAsia="Times New Roman"/>
                <w:kern w:val="0"/>
                <w:sz w:val="17"/>
                <w:lang w:val="en-US" w:eastAsia="zh-CN"/>
              </w:rPr>
            </w:pPr>
          </w:p>
        </w:tc>
        <w:tc>
          <w:tcPr>
            <w:tcW w:w="458" w:type="pct"/>
            <w:shd w:val="clear" w:color="auto" w:fill="auto"/>
            <w:vAlign w:val="bottom"/>
            <w:hideMark/>
          </w:tcPr>
          <w:p w14:paraId="52B0CAC5"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firstLineChars="100" w:firstLine="178"/>
              <w:jc w:val="right"/>
              <w:rPr>
                <w:rFonts w:eastAsia="Times New Roman"/>
                <w:kern w:val="0"/>
                <w:sz w:val="17"/>
                <w:lang w:val="en-US" w:eastAsia="zh-CN"/>
              </w:rPr>
            </w:pPr>
          </w:p>
        </w:tc>
        <w:tc>
          <w:tcPr>
            <w:tcW w:w="508" w:type="pct"/>
            <w:shd w:val="clear" w:color="auto" w:fill="auto"/>
            <w:vAlign w:val="bottom"/>
            <w:hideMark/>
          </w:tcPr>
          <w:p w14:paraId="635FD3B0"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firstLineChars="100" w:firstLine="178"/>
              <w:jc w:val="right"/>
              <w:rPr>
                <w:rFonts w:eastAsia="Times New Roman"/>
                <w:kern w:val="0"/>
                <w:sz w:val="17"/>
                <w:lang w:val="en-US" w:eastAsia="zh-CN"/>
              </w:rPr>
            </w:pPr>
          </w:p>
        </w:tc>
      </w:tr>
      <w:tr w:rsidR="003F2E7C" w:rsidRPr="00E96905" w14:paraId="736DD58E" w14:textId="77777777" w:rsidTr="00206464">
        <w:trPr>
          <w:trHeight w:val="20"/>
          <w:jc w:val="center"/>
        </w:trPr>
        <w:tc>
          <w:tcPr>
            <w:tcW w:w="1674" w:type="pct"/>
            <w:shd w:val="clear" w:color="auto" w:fill="auto"/>
            <w:vAlign w:val="bottom"/>
            <w:hideMark/>
          </w:tcPr>
          <w:p w14:paraId="7D821CD9" w14:textId="77777777" w:rsidR="003F2E7C" w:rsidRPr="00E96905" w:rsidRDefault="003F2E7C" w:rsidP="00206464">
            <w:pPr>
              <w:keepNext/>
              <w:keepLines/>
              <w:tabs>
                <w:tab w:val="left" w:pos="288"/>
                <w:tab w:val="left" w:pos="576"/>
                <w:tab w:val="left" w:pos="864"/>
                <w:tab w:val="left" w:pos="1152"/>
              </w:tabs>
              <w:spacing w:before="40" w:after="40" w:line="210" w:lineRule="exact"/>
              <w:ind w:right="40"/>
              <w:rPr>
                <w:rFonts w:eastAsia="Times New Roman"/>
                <w:color w:val="000000"/>
                <w:kern w:val="0"/>
                <w:sz w:val="17"/>
                <w:szCs w:val="17"/>
                <w:lang w:val="en-US" w:eastAsia="zh-CN"/>
              </w:rPr>
            </w:pPr>
            <w:r w:rsidRPr="00E96905">
              <w:rPr>
                <w:rFonts w:eastAsia="Times New Roman"/>
                <w:color w:val="000000"/>
                <w:kern w:val="0"/>
                <w:sz w:val="17"/>
                <w:lang w:eastAsia="zh-CN"/>
              </w:rPr>
              <w:t>USG</w:t>
            </w:r>
          </w:p>
        </w:tc>
        <w:tc>
          <w:tcPr>
            <w:tcW w:w="555" w:type="pct"/>
            <w:shd w:val="clear" w:color="auto" w:fill="auto"/>
            <w:vAlign w:val="center"/>
          </w:tcPr>
          <w:p w14:paraId="0399B42F"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1</w:t>
            </w:r>
          </w:p>
        </w:tc>
        <w:tc>
          <w:tcPr>
            <w:tcW w:w="627" w:type="pct"/>
            <w:shd w:val="clear" w:color="auto" w:fill="auto"/>
            <w:vAlign w:val="center"/>
          </w:tcPr>
          <w:p w14:paraId="3AA23296"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717" w:type="pct"/>
            <w:shd w:val="clear" w:color="auto" w:fill="auto"/>
            <w:vAlign w:val="center"/>
          </w:tcPr>
          <w:p w14:paraId="7B7B7137"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61" w:type="pct"/>
            <w:shd w:val="clear" w:color="auto" w:fill="auto"/>
            <w:vAlign w:val="center"/>
          </w:tcPr>
          <w:p w14:paraId="49B34B2F"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58" w:type="pct"/>
            <w:shd w:val="clear" w:color="auto" w:fill="auto"/>
            <w:vAlign w:val="center"/>
          </w:tcPr>
          <w:p w14:paraId="7E581BD1"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508" w:type="pct"/>
            <w:shd w:val="clear" w:color="auto" w:fill="auto"/>
            <w:vAlign w:val="center"/>
          </w:tcPr>
          <w:p w14:paraId="153027A6" w14:textId="77777777" w:rsidR="003F2E7C" w:rsidRPr="00E96905" w:rsidRDefault="003F2E7C" w:rsidP="00206464">
            <w:pPr>
              <w:keepNext/>
              <w:keepLines/>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1</w:t>
            </w:r>
          </w:p>
        </w:tc>
      </w:tr>
      <w:tr w:rsidR="003F2E7C" w:rsidRPr="00E96905" w14:paraId="0F0AE30F" w14:textId="77777777" w:rsidTr="00206464">
        <w:trPr>
          <w:trHeight w:val="20"/>
          <w:jc w:val="center"/>
        </w:trPr>
        <w:tc>
          <w:tcPr>
            <w:tcW w:w="1674" w:type="pct"/>
            <w:shd w:val="clear" w:color="auto" w:fill="auto"/>
            <w:vAlign w:val="bottom"/>
            <w:hideMark/>
          </w:tcPr>
          <w:p w14:paraId="57A6A903"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kern w:val="0"/>
                <w:sz w:val="17"/>
                <w:szCs w:val="17"/>
                <w:lang w:val="en-US" w:eastAsia="zh-CN"/>
              </w:rPr>
            </w:pPr>
            <w:r w:rsidRPr="00E96905">
              <w:rPr>
                <w:rFonts w:eastAsia="Times New Roman"/>
                <w:color w:val="000000"/>
                <w:kern w:val="0"/>
                <w:sz w:val="17"/>
                <w:lang w:eastAsia="zh-CN"/>
              </w:rPr>
              <w:t>D-2</w:t>
            </w:r>
          </w:p>
        </w:tc>
        <w:tc>
          <w:tcPr>
            <w:tcW w:w="555" w:type="pct"/>
            <w:shd w:val="clear" w:color="auto" w:fill="auto"/>
            <w:vAlign w:val="center"/>
          </w:tcPr>
          <w:p w14:paraId="2FAEBED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1</w:t>
            </w:r>
          </w:p>
        </w:tc>
        <w:tc>
          <w:tcPr>
            <w:tcW w:w="627" w:type="pct"/>
            <w:shd w:val="clear" w:color="auto" w:fill="auto"/>
            <w:vAlign w:val="center"/>
          </w:tcPr>
          <w:p w14:paraId="5DDB32E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717" w:type="pct"/>
            <w:shd w:val="clear" w:color="auto" w:fill="auto"/>
            <w:vAlign w:val="center"/>
          </w:tcPr>
          <w:p w14:paraId="3D3C1BF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61" w:type="pct"/>
            <w:shd w:val="clear" w:color="auto" w:fill="auto"/>
            <w:vAlign w:val="center"/>
          </w:tcPr>
          <w:p w14:paraId="4608882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58" w:type="pct"/>
            <w:shd w:val="clear" w:color="auto" w:fill="auto"/>
            <w:vAlign w:val="center"/>
          </w:tcPr>
          <w:p w14:paraId="505B077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508" w:type="pct"/>
            <w:shd w:val="clear" w:color="auto" w:fill="auto"/>
            <w:vAlign w:val="center"/>
          </w:tcPr>
          <w:p w14:paraId="4F3A6A3F"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1</w:t>
            </w:r>
          </w:p>
        </w:tc>
      </w:tr>
      <w:tr w:rsidR="003F2E7C" w:rsidRPr="00E96905" w14:paraId="0F5FF528" w14:textId="77777777" w:rsidTr="00206464">
        <w:trPr>
          <w:trHeight w:val="20"/>
          <w:jc w:val="center"/>
        </w:trPr>
        <w:tc>
          <w:tcPr>
            <w:tcW w:w="1674" w:type="pct"/>
            <w:shd w:val="clear" w:color="auto" w:fill="auto"/>
            <w:vAlign w:val="bottom"/>
            <w:hideMark/>
          </w:tcPr>
          <w:p w14:paraId="2FB566B4"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kern w:val="0"/>
                <w:sz w:val="17"/>
                <w:szCs w:val="17"/>
                <w:lang w:val="en-US" w:eastAsia="zh-CN"/>
              </w:rPr>
            </w:pPr>
            <w:r w:rsidRPr="00E96905">
              <w:rPr>
                <w:rFonts w:eastAsia="Times New Roman"/>
                <w:color w:val="000000"/>
                <w:kern w:val="0"/>
                <w:sz w:val="17"/>
                <w:lang w:eastAsia="zh-CN"/>
              </w:rPr>
              <w:t>D-1</w:t>
            </w:r>
          </w:p>
        </w:tc>
        <w:tc>
          <w:tcPr>
            <w:tcW w:w="555" w:type="pct"/>
            <w:shd w:val="clear" w:color="auto" w:fill="auto"/>
            <w:vAlign w:val="center"/>
          </w:tcPr>
          <w:p w14:paraId="5D31E054"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4</w:t>
            </w:r>
          </w:p>
        </w:tc>
        <w:tc>
          <w:tcPr>
            <w:tcW w:w="627" w:type="pct"/>
            <w:shd w:val="clear" w:color="auto" w:fill="auto"/>
            <w:vAlign w:val="center"/>
          </w:tcPr>
          <w:p w14:paraId="5D77E7A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717" w:type="pct"/>
            <w:shd w:val="clear" w:color="auto" w:fill="auto"/>
            <w:vAlign w:val="center"/>
          </w:tcPr>
          <w:p w14:paraId="5BFEFC82"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61" w:type="pct"/>
            <w:shd w:val="clear" w:color="auto" w:fill="auto"/>
            <w:vAlign w:val="center"/>
          </w:tcPr>
          <w:p w14:paraId="6029F75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58" w:type="pct"/>
            <w:shd w:val="clear" w:color="auto" w:fill="auto"/>
            <w:vAlign w:val="center"/>
          </w:tcPr>
          <w:p w14:paraId="4501D47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508" w:type="pct"/>
            <w:shd w:val="clear" w:color="auto" w:fill="auto"/>
            <w:vAlign w:val="center"/>
          </w:tcPr>
          <w:p w14:paraId="723FA9BF"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4</w:t>
            </w:r>
          </w:p>
        </w:tc>
      </w:tr>
      <w:tr w:rsidR="003F2E7C" w:rsidRPr="00E96905" w14:paraId="35BBA954" w14:textId="77777777" w:rsidTr="00206464">
        <w:trPr>
          <w:trHeight w:val="20"/>
          <w:jc w:val="center"/>
        </w:trPr>
        <w:tc>
          <w:tcPr>
            <w:tcW w:w="1674" w:type="pct"/>
            <w:shd w:val="clear" w:color="auto" w:fill="auto"/>
            <w:vAlign w:val="bottom"/>
            <w:hideMark/>
          </w:tcPr>
          <w:p w14:paraId="6F4CC13E"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kern w:val="0"/>
                <w:sz w:val="17"/>
                <w:szCs w:val="17"/>
                <w:lang w:val="en-US" w:eastAsia="zh-CN"/>
              </w:rPr>
            </w:pPr>
            <w:r w:rsidRPr="00E96905">
              <w:rPr>
                <w:rFonts w:eastAsia="Times New Roman"/>
                <w:color w:val="000000"/>
                <w:kern w:val="0"/>
                <w:sz w:val="17"/>
                <w:lang w:eastAsia="zh-CN"/>
              </w:rPr>
              <w:t>P-5</w:t>
            </w:r>
          </w:p>
        </w:tc>
        <w:tc>
          <w:tcPr>
            <w:tcW w:w="555" w:type="pct"/>
            <w:shd w:val="clear" w:color="auto" w:fill="auto"/>
            <w:vAlign w:val="center"/>
          </w:tcPr>
          <w:p w14:paraId="6E9E4CD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9</w:t>
            </w:r>
          </w:p>
        </w:tc>
        <w:tc>
          <w:tcPr>
            <w:tcW w:w="627" w:type="pct"/>
            <w:shd w:val="clear" w:color="auto" w:fill="auto"/>
            <w:vAlign w:val="center"/>
          </w:tcPr>
          <w:p w14:paraId="49F62AAB"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717" w:type="pct"/>
            <w:shd w:val="clear" w:color="auto" w:fill="auto"/>
            <w:vAlign w:val="center"/>
          </w:tcPr>
          <w:p w14:paraId="03CFD13E"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61" w:type="pct"/>
            <w:shd w:val="clear" w:color="auto" w:fill="auto"/>
            <w:vAlign w:val="center"/>
          </w:tcPr>
          <w:p w14:paraId="569AF94F"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58" w:type="pct"/>
            <w:shd w:val="clear" w:color="auto" w:fill="auto"/>
            <w:vAlign w:val="center"/>
          </w:tcPr>
          <w:p w14:paraId="125B37F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508" w:type="pct"/>
            <w:shd w:val="clear" w:color="auto" w:fill="auto"/>
            <w:vAlign w:val="center"/>
          </w:tcPr>
          <w:p w14:paraId="507F10F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9</w:t>
            </w:r>
          </w:p>
        </w:tc>
      </w:tr>
      <w:tr w:rsidR="003F2E7C" w:rsidRPr="00E96905" w14:paraId="4C5578DB" w14:textId="77777777" w:rsidTr="00206464">
        <w:trPr>
          <w:trHeight w:val="20"/>
          <w:jc w:val="center"/>
        </w:trPr>
        <w:tc>
          <w:tcPr>
            <w:tcW w:w="1674" w:type="pct"/>
            <w:shd w:val="clear" w:color="auto" w:fill="auto"/>
            <w:vAlign w:val="bottom"/>
            <w:hideMark/>
          </w:tcPr>
          <w:p w14:paraId="7B5BD92C"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kern w:val="0"/>
                <w:sz w:val="17"/>
                <w:szCs w:val="17"/>
                <w:lang w:val="en-US" w:eastAsia="zh-CN"/>
              </w:rPr>
            </w:pPr>
            <w:r w:rsidRPr="00E96905">
              <w:rPr>
                <w:rFonts w:eastAsia="Times New Roman"/>
                <w:color w:val="000000"/>
                <w:kern w:val="0"/>
                <w:sz w:val="17"/>
                <w:lang w:eastAsia="zh-CN"/>
              </w:rPr>
              <w:t>P-4</w:t>
            </w:r>
          </w:p>
        </w:tc>
        <w:tc>
          <w:tcPr>
            <w:tcW w:w="555" w:type="pct"/>
            <w:shd w:val="clear" w:color="auto" w:fill="auto"/>
            <w:vAlign w:val="center"/>
          </w:tcPr>
          <w:p w14:paraId="0DA76F2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17</w:t>
            </w:r>
          </w:p>
        </w:tc>
        <w:tc>
          <w:tcPr>
            <w:tcW w:w="627" w:type="pct"/>
            <w:shd w:val="clear" w:color="auto" w:fill="auto"/>
            <w:vAlign w:val="center"/>
          </w:tcPr>
          <w:p w14:paraId="6B5F58D2"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717" w:type="pct"/>
            <w:shd w:val="clear" w:color="auto" w:fill="auto"/>
            <w:vAlign w:val="center"/>
          </w:tcPr>
          <w:p w14:paraId="43DF5897"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61" w:type="pct"/>
            <w:shd w:val="clear" w:color="auto" w:fill="auto"/>
            <w:vAlign w:val="center"/>
          </w:tcPr>
          <w:p w14:paraId="6A566CB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58" w:type="pct"/>
            <w:shd w:val="clear" w:color="auto" w:fill="auto"/>
            <w:vAlign w:val="center"/>
          </w:tcPr>
          <w:p w14:paraId="1094F2AF"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508" w:type="pct"/>
            <w:shd w:val="clear" w:color="auto" w:fill="auto"/>
            <w:vAlign w:val="center"/>
          </w:tcPr>
          <w:p w14:paraId="3D2EED6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17</w:t>
            </w:r>
          </w:p>
        </w:tc>
      </w:tr>
      <w:tr w:rsidR="003F2E7C" w:rsidRPr="00E96905" w14:paraId="07D813B3" w14:textId="77777777" w:rsidTr="00206464">
        <w:trPr>
          <w:trHeight w:val="20"/>
          <w:jc w:val="center"/>
        </w:trPr>
        <w:tc>
          <w:tcPr>
            <w:tcW w:w="1674" w:type="pct"/>
            <w:shd w:val="clear" w:color="auto" w:fill="auto"/>
            <w:vAlign w:val="bottom"/>
            <w:hideMark/>
          </w:tcPr>
          <w:p w14:paraId="060A4281"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kern w:val="0"/>
                <w:sz w:val="17"/>
                <w:szCs w:val="17"/>
                <w:lang w:val="en-US" w:eastAsia="zh-CN"/>
              </w:rPr>
            </w:pPr>
            <w:r w:rsidRPr="00E96905">
              <w:rPr>
                <w:rFonts w:eastAsia="Times New Roman"/>
                <w:color w:val="000000"/>
                <w:kern w:val="0"/>
                <w:sz w:val="17"/>
                <w:lang w:eastAsia="zh-CN"/>
              </w:rPr>
              <w:t>P-3</w:t>
            </w:r>
          </w:p>
        </w:tc>
        <w:tc>
          <w:tcPr>
            <w:tcW w:w="555" w:type="pct"/>
            <w:shd w:val="clear" w:color="auto" w:fill="auto"/>
            <w:vAlign w:val="center"/>
          </w:tcPr>
          <w:p w14:paraId="52A5F347"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14</w:t>
            </w:r>
          </w:p>
        </w:tc>
        <w:tc>
          <w:tcPr>
            <w:tcW w:w="627" w:type="pct"/>
            <w:shd w:val="clear" w:color="auto" w:fill="auto"/>
            <w:vAlign w:val="center"/>
          </w:tcPr>
          <w:p w14:paraId="4372CF4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717" w:type="pct"/>
            <w:shd w:val="clear" w:color="auto" w:fill="auto"/>
            <w:vAlign w:val="center"/>
          </w:tcPr>
          <w:p w14:paraId="26867A2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61" w:type="pct"/>
            <w:shd w:val="clear" w:color="auto" w:fill="auto"/>
            <w:vAlign w:val="center"/>
          </w:tcPr>
          <w:p w14:paraId="1009468C"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58" w:type="pct"/>
            <w:shd w:val="clear" w:color="auto" w:fill="auto"/>
            <w:vAlign w:val="center"/>
          </w:tcPr>
          <w:p w14:paraId="4EE41F8E"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508" w:type="pct"/>
            <w:shd w:val="clear" w:color="auto" w:fill="auto"/>
            <w:vAlign w:val="center"/>
          </w:tcPr>
          <w:p w14:paraId="209B7B5B"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14</w:t>
            </w:r>
          </w:p>
        </w:tc>
      </w:tr>
      <w:tr w:rsidR="003F2E7C" w:rsidRPr="00E96905" w14:paraId="21C87F60" w14:textId="77777777" w:rsidTr="00206464">
        <w:trPr>
          <w:trHeight w:val="20"/>
          <w:jc w:val="center"/>
        </w:trPr>
        <w:tc>
          <w:tcPr>
            <w:tcW w:w="1674" w:type="pct"/>
            <w:tcBorders>
              <w:bottom w:val="single" w:sz="4" w:space="0" w:color="auto"/>
            </w:tcBorders>
            <w:shd w:val="clear" w:color="auto" w:fill="auto"/>
            <w:vAlign w:val="bottom"/>
            <w:hideMark/>
          </w:tcPr>
          <w:p w14:paraId="07787201" w14:textId="77777777" w:rsidR="003F2E7C" w:rsidRPr="00E96905" w:rsidRDefault="003F2E7C" w:rsidP="00206464">
            <w:pPr>
              <w:tabs>
                <w:tab w:val="left" w:pos="288"/>
                <w:tab w:val="left" w:pos="576"/>
                <w:tab w:val="left" w:pos="864"/>
                <w:tab w:val="left" w:pos="1152"/>
              </w:tabs>
              <w:spacing w:before="40" w:after="81" w:line="210" w:lineRule="exact"/>
              <w:ind w:right="40"/>
              <w:rPr>
                <w:rFonts w:eastAsia="Times New Roman"/>
                <w:color w:val="000000"/>
                <w:kern w:val="0"/>
                <w:sz w:val="17"/>
                <w:szCs w:val="17"/>
                <w:lang w:val="en-US" w:eastAsia="zh-CN"/>
              </w:rPr>
            </w:pPr>
            <w:r w:rsidRPr="00E96905">
              <w:rPr>
                <w:rFonts w:eastAsia="Times New Roman"/>
                <w:color w:val="000000"/>
                <w:kern w:val="0"/>
                <w:sz w:val="17"/>
                <w:lang w:eastAsia="zh-CN"/>
              </w:rPr>
              <w:t>P-2/1</w:t>
            </w:r>
          </w:p>
        </w:tc>
        <w:tc>
          <w:tcPr>
            <w:tcW w:w="555" w:type="pct"/>
            <w:tcBorders>
              <w:bottom w:val="single" w:sz="4" w:space="0" w:color="auto"/>
            </w:tcBorders>
            <w:shd w:val="clear" w:color="auto" w:fill="auto"/>
            <w:vAlign w:val="center"/>
          </w:tcPr>
          <w:p w14:paraId="32BA37C7"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bCs/>
                <w:color w:val="000000" w:themeColor="text1"/>
                <w:sz w:val="17"/>
              </w:rPr>
              <w:t>5</w:t>
            </w:r>
          </w:p>
        </w:tc>
        <w:tc>
          <w:tcPr>
            <w:tcW w:w="627" w:type="pct"/>
            <w:tcBorders>
              <w:bottom w:val="single" w:sz="4" w:space="0" w:color="auto"/>
            </w:tcBorders>
            <w:shd w:val="clear" w:color="auto" w:fill="auto"/>
            <w:vAlign w:val="center"/>
          </w:tcPr>
          <w:p w14:paraId="2CFA959A"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717" w:type="pct"/>
            <w:tcBorders>
              <w:bottom w:val="single" w:sz="4" w:space="0" w:color="auto"/>
            </w:tcBorders>
            <w:shd w:val="clear" w:color="auto" w:fill="auto"/>
            <w:vAlign w:val="center"/>
          </w:tcPr>
          <w:p w14:paraId="2449F34A"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61" w:type="pct"/>
            <w:tcBorders>
              <w:bottom w:val="single" w:sz="4" w:space="0" w:color="auto"/>
            </w:tcBorders>
            <w:shd w:val="clear" w:color="auto" w:fill="auto"/>
            <w:vAlign w:val="center"/>
          </w:tcPr>
          <w:p w14:paraId="44071627"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58" w:type="pct"/>
            <w:tcBorders>
              <w:bottom w:val="single" w:sz="4" w:space="0" w:color="auto"/>
            </w:tcBorders>
            <w:shd w:val="clear" w:color="auto" w:fill="auto"/>
            <w:vAlign w:val="center"/>
          </w:tcPr>
          <w:p w14:paraId="5EE9BFD1"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508" w:type="pct"/>
            <w:tcBorders>
              <w:bottom w:val="single" w:sz="4" w:space="0" w:color="auto"/>
            </w:tcBorders>
            <w:shd w:val="clear" w:color="auto" w:fill="auto"/>
            <w:vAlign w:val="center"/>
          </w:tcPr>
          <w:p w14:paraId="4870931C"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bCs/>
                <w:color w:val="000000" w:themeColor="text1"/>
                <w:sz w:val="17"/>
              </w:rPr>
              <w:t>5</w:t>
            </w:r>
          </w:p>
        </w:tc>
      </w:tr>
      <w:tr w:rsidR="003F2E7C" w:rsidRPr="00E96905" w14:paraId="5B167DB1" w14:textId="77777777" w:rsidTr="00206464">
        <w:trPr>
          <w:trHeight w:val="20"/>
          <w:jc w:val="center"/>
        </w:trPr>
        <w:tc>
          <w:tcPr>
            <w:tcW w:w="1674" w:type="pct"/>
            <w:tcBorders>
              <w:top w:val="single" w:sz="4" w:space="0" w:color="auto"/>
              <w:bottom w:val="single" w:sz="4" w:space="0" w:color="auto"/>
            </w:tcBorders>
            <w:shd w:val="clear" w:color="auto" w:fill="auto"/>
            <w:vAlign w:val="bottom"/>
            <w:hideMark/>
          </w:tcPr>
          <w:p w14:paraId="23CB566D"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kern w:val="0"/>
                <w:sz w:val="17"/>
                <w:szCs w:val="17"/>
                <w:lang w:val="en-US" w:eastAsia="zh-CN"/>
              </w:rPr>
            </w:pPr>
            <w:r w:rsidRPr="00E96905">
              <w:rPr>
                <w:rFonts w:eastAsia="Times New Roman"/>
                <w:b/>
                <w:bCs/>
                <w:color w:val="000000"/>
                <w:kern w:val="0"/>
                <w:sz w:val="17"/>
                <w:lang w:eastAsia="zh-CN"/>
              </w:rPr>
              <w:tab/>
              <w:t>Subtotal</w:t>
            </w:r>
          </w:p>
        </w:tc>
        <w:tc>
          <w:tcPr>
            <w:tcW w:w="555" w:type="pct"/>
            <w:tcBorders>
              <w:top w:val="single" w:sz="4" w:space="0" w:color="auto"/>
              <w:bottom w:val="single" w:sz="4" w:space="0" w:color="auto"/>
            </w:tcBorders>
            <w:shd w:val="clear" w:color="auto" w:fill="auto"/>
            <w:vAlign w:val="center"/>
          </w:tcPr>
          <w:p w14:paraId="4ABF5130"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7"/>
              </w:rPr>
              <w:t>51</w:t>
            </w:r>
          </w:p>
        </w:tc>
        <w:tc>
          <w:tcPr>
            <w:tcW w:w="627" w:type="pct"/>
            <w:tcBorders>
              <w:top w:val="single" w:sz="4" w:space="0" w:color="auto"/>
              <w:bottom w:val="single" w:sz="4" w:space="0" w:color="auto"/>
            </w:tcBorders>
            <w:shd w:val="clear" w:color="auto" w:fill="auto"/>
            <w:vAlign w:val="center"/>
          </w:tcPr>
          <w:p w14:paraId="289A841E"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5"/>
                <w:szCs w:val="15"/>
              </w:rPr>
              <w:t xml:space="preserve">– </w:t>
            </w:r>
          </w:p>
        </w:tc>
        <w:tc>
          <w:tcPr>
            <w:tcW w:w="717" w:type="pct"/>
            <w:tcBorders>
              <w:top w:val="single" w:sz="4" w:space="0" w:color="auto"/>
              <w:bottom w:val="single" w:sz="4" w:space="0" w:color="auto"/>
            </w:tcBorders>
            <w:shd w:val="clear" w:color="auto" w:fill="auto"/>
            <w:vAlign w:val="center"/>
          </w:tcPr>
          <w:p w14:paraId="4ACB3908"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5"/>
                <w:szCs w:val="15"/>
              </w:rPr>
              <w:t xml:space="preserve">– </w:t>
            </w:r>
          </w:p>
        </w:tc>
        <w:tc>
          <w:tcPr>
            <w:tcW w:w="461" w:type="pct"/>
            <w:tcBorders>
              <w:top w:val="single" w:sz="4" w:space="0" w:color="auto"/>
              <w:bottom w:val="single" w:sz="4" w:space="0" w:color="auto"/>
            </w:tcBorders>
            <w:shd w:val="clear" w:color="auto" w:fill="auto"/>
            <w:vAlign w:val="center"/>
          </w:tcPr>
          <w:p w14:paraId="7157C258"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5"/>
                <w:szCs w:val="15"/>
              </w:rPr>
              <w:t>–</w:t>
            </w:r>
          </w:p>
        </w:tc>
        <w:tc>
          <w:tcPr>
            <w:tcW w:w="458" w:type="pct"/>
            <w:tcBorders>
              <w:top w:val="single" w:sz="4" w:space="0" w:color="auto"/>
              <w:bottom w:val="single" w:sz="4" w:space="0" w:color="auto"/>
            </w:tcBorders>
            <w:shd w:val="clear" w:color="auto" w:fill="auto"/>
            <w:vAlign w:val="center"/>
          </w:tcPr>
          <w:p w14:paraId="4EC78D06"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5"/>
                <w:szCs w:val="15"/>
              </w:rPr>
              <w:t>–</w:t>
            </w:r>
          </w:p>
        </w:tc>
        <w:tc>
          <w:tcPr>
            <w:tcW w:w="508" w:type="pct"/>
            <w:tcBorders>
              <w:top w:val="single" w:sz="4" w:space="0" w:color="auto"/>
              <w:bottom w:val="single" w:sz="4" w:space="0" w:color="auto"/>
            </w:tcBorders>
            <w:shd w:val="clear" w:color="auto" w:fill="auto"/>
            <w:vAlign w:val="center"/>
          </w:tcPr>
          <w:p w14:paraId="5879FE1D"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7"/>
              </w:rPr>
              <w:t>51</w:t>
            </w:r>
          </w:p>
        </w:tc>
      </w:tr>
      <w:tr w:rsidR="003F2E7C" w:rsidRPr="00E96905" w14:paraId="67E13485" w14:textId="77777777" w:rsidTr="00206464">
        <w:trPr>
          <w:trHeight w:val="20"/>
          <w:jc w:val="center"/>
        </w:trPr>
        <w:tc>
          <w:tcPr>
            <w:tcW w:w="1674" w:type="pct"/>
            <w:tcBorders>
              <w:top w:val="single" w:sz="4" w:space="0" w:color="auto"/>
            </w:tcBorders>
            <w:shd w:val="clear" w:color="auto" w:fill="auto"/>
            <w:vAlign w:val="bottom"/>
            <w:hideMark/>
          </w:tcPr>
          <w:p w14:paraId="08E0E35E" w14:textId="77777777" w:rsidR="003F2E7C" w:rsidRPr="00E96905" w:rsidRDefault="003F2E7C" w:rsidP="00206464">
            <w:pPr>
              <w:tabs>
                <w:tab w:val="left" w:pos="288"/>
                <w:tab w:val="left" w:pos="576"/>
                <w:tab w:val="left" w:pos="864"/>
                <w:tab w:val="left" w:pos="1152"/>
              </w:tabs>
              <w:spacing w:before="81" w:after="40" w:line="210" w:lineRule="exact"/>
              <w:ind w:right="40"/>
              <w:rPr>
                <w:rFonts w:eastAsia="Times New Roman"/>
                <w:b/>
                <w:bCs/>
                <w:color w:val="000000"/>
                <w:kern w:val="0"/>
                <w:sz w:val="17"/>
                <w:szCs w:val="17"/>
                <w:lang w:val="en-US" w:eastAsia="zh-CN"/>
              </w:rPr>
            </w:pPr>
            <w:r w:rsidRPr="00E96905">
              <w:rPr>
                <w:rFonts w:eastAsia="Times New Roman"/>
                <w:b/>
                <w:bCs/>
                <w:color w:val="000000"/>
                <w:kern w:val="0"/>
                <w:sz w:val="17"/>
                <w:lang w:eastAsia="zh-CN"/>
              </w:rPr>
              <w:t>General Service and related</w:t>
            </w:r>
          </w:p>
        </w:tc>
        <w:tc>
          <w:tcPr>
            <w:tcW w:w="555" w:type="pct"/>
            <w:tcBorders>
              <w:top w:val="single" w:sz="4" w:space="0" w:color="auto"/>
            </w:tcBorders>
            <w:shd w:val="clear" w:color="auto" w:fill="auto"/>
            <w:vAlign w:val="bottom"/>
          </w:tcPr>
          <w:p w14:paraId="367F4E7D" w14:textId="77777777" w:rsidR="003F2E7C" w:rsidRPr="00E96905" w:rsidRDefault="003F2E7C" w:rsidP="00206464">
            <w:pPr>
              <w:tabs>
                <w:tab w:val="left" w:pos="288"/>
                <w:tab w:val="left" w:pos="576"/>
                <w:tab w:val="left" w:pos="864"/>
                <w:tab w:val="left" w:pos="1152"/>
              </w:tabs>
              <w:spacing w:before="81" w:after="40" w:line="210" w:lineRule="exact"/>
              <w:ind w:left="144" w:right="40"/>
              <w:jc w:val="right"/>
              <w:rPr>
                <w:rFonts w:eastAsia="Times New Roman"/>
                <w:b/>
                <w:bCs/>
                <w:color w:val="000000"/>
                <w:kern w:val="0"/>
                <w:sz w:val="17"/>
                <w:szCs w:val="17"/>
                <w:lang w:val="en-US" w:eastAsia="zh-CN"/>
              </w:rPr>
            </w:pPr>
          </w:p>
        </w:tc>
        <w:tc>
          <w:tcPr>
            <w:tcW w:w="627" w:type="pct"/>
            <w:tcBorders>
              <w:top w:val="single" w:sz="4" w:space="0" w:color="auto"/>
            </w:tcBorders>
            <w:shd w:val="clear" w:color="auto" w:fill="auto"/>
            <w:vAlign w:val="bottom"/>
          </w:tcPr>
          <w:p w14:paraId="4CF2D3DF" w14:textId="77777777" w:rsidR="003F2E7C" w:rsidRPr="00E96905" w:rsidRDefault="003F2E7C" w:rsidP="00206464">
            <w:pPr>
              <w:tabs>
                <w:tab w:val="left" w:pos="288"/>
                <w:tab w:val="left" w:pos="576"/>
                <w:tab w:val="left" w:pos="864"/>
                <w:tab w:val="left" w:pos="1152"/>
              </w:tabs>
              <w:spacing w:before="81" w:after="40" w:line="210" w:lineRule="exact"/>
              <w:ind w:left="144" w:right="40"/>
              <w:jc w:val="right"/>
              <w:rPr>
                <w:rFonts w:eastAsia="Times New Roman"/>
                <w:kern w:val="0"/>
                <w:sz w:val="17"/>
                <w:szCs w:val="17"/>
                <w:lang w:val="en-US" w:eastAsia="zh-CN"/>
              </w:rPr>
            </w:pPr>
          </w:p>
        </w:tc>
        <w:tc>
          <w:tcPr>
            <w:tcW w:w="717" w:type="pct"/>
            <w:tcBorders>
              <w:top w:val="single" w:sz="4" w:space="0" w:color="auto"/>
            </w:tcBorders>
            <w:shd w:val="clear" w:color="auto" w:fill="auto"/>
          </w:tcPr>
          <w:p w14:paraId="1AB6F046" w14:textId="77777777" w:rsidR="003F2E7C" w:rsidRPr="00E96905" w:rsidRDefault="003F2E7C" w:rsidP="00206464">
            <w:pPr>
              <w:tabs>
                <w:tab w:val="left" w:pos="288"/>
                <w:tab w:val="left" w:pos="576"/>
                <w:tab w:val="left" w:pos="864"/>
                <w:tab w:val="left" w:pos="1152"/>
              </w:tabs>
              <w:spacing w:before="81" w:after="40" w:line="210" w:lineRule="exact"/>
              <w:ind w:left="144" w:right="40"/>
              <w:jc w:val="right"/>
              <w:rPr>
                <w:rFonts w:eastAsia="Times New Roman"/>
                <w:kern w:val="0"/>
                <w:sz w:val="17"/>
                <w:szCs w:val="17"/>
                <w:lang w:val="en-US" w:eastAsia="zh-CN"/>
              </w:rPr>
            </w:pPr>
          </w:p>
        </w:tc>
        <w:tc>
          <w:tcPr>
            <w:tcW w:w="461" w:type="pct"/>
            <w:tcBorders>
              <w:top w:val="single" w:sz="4" w:space="0" w:color="auto"/>
            </w:tcBorders>
            <w:shd w:val="clear" w:color="auto" w:fill="auto"/>
          </w:tcPr>
          <w:p w14:paraId="772C743C" w14:textId="77777777" w:rsidR="003F2E7C" w:rsidRPr="00E96905" w:rsidRDefault="003F2E7C" w:rsidP="00206464">
            <w:pPr>
              <w:tabs>
                <w:tab w:val="left" w:pos="288"/>
                <w:tab w:val="left" w:pos="576"/>
                <w:tab w:val="left" w:pos="864"/>
                <w:tab w:val="left" w:pos="1152"/>
              </w:tabs>
              <w:spacing w:before="81" w:after="40" w:line="210" w:lineRule="exact"/>
              <w:ind w:left="144" w:right="40"/>
              <w:jc w:val="right"/>
              <w:rPr>
                <w:rFonts w:eastAsia="Times New Roman"/>
                <w:kern w:val="0"/>
                <w:sz w:val="17"/>
                <w:szCs w:val="17"/>
                <w:lang w:val="en-US" w:eastAsia="zh-CN"/>
              </w:rPr>
            </w:pPr>
          </w:p>
        </w:tc>
        <w:tc>
          <w:tcPr>
            <w:tcW w:w="458" w:type="pct"/>
            <w:tcBorders>
              <w:top w:val="single" w:sz="4" w:space="0" w:color="auto"/>
            </w:tcBorders>
            <w:shd w:val="clear" w:color="auto" w:fill="auto"/>
            <w:vAlign w:val="bottom"/>
          </w:tcPr>
          <w:p w14:paraId="7F741495" w14:textId="77777777" w:rsidR="003F2E7C" w:rsidRPr="00E96905" w:rsidRDefault="003F2E7C" w:rsidP="00206464">
            <w:pPr>
              <w:tabs>
                <w:tab w:val="left" w:pos="288"/>
                <w:tab w:val="left" w:pos="576"/>
                <w:tab w:val="left" w:pos="864"/>
                <w:tab w:val="left" w:pos="1152"/>
              </w:tabs>
              <w:spacing w:before="81" w:after="40" w:line="210" w:lineRule="exact"/>
              <w:ind w:left="144" w:right="40"/>
              <w:jc w:val="right"/>
              <w:rPr>
                <w:rFonts w:eastAsia="Times New Roman"/>
                <w:kern w:val="0"/>
                <w:sz w:val="17"/>
                <w:szCs w:val="17"/>
                <w:lang w:val="en-US" w:eastAsia="zh-CN"/>
              </w:rPr>
            </w:pPr>
          </w:p>
        </w:tc>
        <w:tc>
          <w:tcPr>
            <w:tcW w:w="508" w:type="pct"/>
            <w:tcBorders>
              <w:top w:val="single" w:sz="4" w:space="0" w:color="auto"/>
            </w:tcBorders>
            <w:shd w:val="clear" w:color="auto" w:fill="auto"/>
            <w:vAlign w:val="bottom"/>
          </w:tcPr>
          <w:p w14:paraId="2346A2D3" w14:textId="77777777" w:rsidR="003F2E7C" w:rsidRPr="00E96905" w:rsidRDefault="003F2E7C" w:rsidP="00206464">
            <w:pPr>
              <w:tabs>
                <w:tab w:val="left" w:pos="288"/>
                <w:tab w:val="left" w:pos="576"/>
                <w:tab w:val="left" w:pos="864"/>
                <w:tab w:val="left" w:pos="1152"/>
              </w:tabs>
              <w:spacing w:before="81" w:after="40" w:line="210" w:lineRule="exact"/>
              <w:ind w:left="144" w:right="40"/>
              <w:jc w:val="right"/>
              <w:rPr>
                <w:rFonts w:eastAsia="Times New Roman"/>
                <w:kern w:val="0"/>
                <w:sz w:val="17"/>
                <w:szCs w:val="17"/>
                <w:lang w:val="en-US" w:eastAsia="zh-CN"/>
              </w:rPr>
            </w:pPr>
          </w:p>
        </w:tc>
      </w:tr>
      <w:tr w:rsidR="003F2E7C" w:rsidRPr="00E96905" w14:paraId="3F03C668" w14:textId="77777777" w:rsidTr="00206464">
        <w:trPr>
          <w:trHeight w:val="20"/>
          <w:jc w:val="center"/>
        </w:trPr>
        <w:tc>
          <w:tcPr>
            <w:tcW w:w="1674" w:type="pct"/>
            <w:shd w:val="clear" w:color="auto" w:fill="auto"/>
            <w:vAlign w:val="center"/>
          </w:tcPr>
          <w:p w14:paraId="45A8B12D"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kern w:val="0"/>
                <w:sz w:val="17"/>
                <w:szCs w:val="17"/>
                <w:lang w:val="en-US" w:eastAsia="zh-CN"/>
              </w:rPr>
            </w:pPr>
            <w:r w:rsidRPr="00E96905">
              <w:rPr>
                <w:color w:val="000000" w:themeColor="text1"/>
                <w:sz w:val="17"/>
              </w:rPr>
              <w:t>GS (OL)</w:t>
            </w:r>
          </w:p>
        </w:tc>
        <w:tc>
          <w:tcPr>
            <w:tcW w:w="555" w:type="pct"/>
            <w:shd w:val="clear" w:color="auto" w:fill="auto"/>
            <w:vAlign w:val="bottom"/>
          </w:tcPr>
          <w:p w14:paraId="73A1E38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2</w:t>
            </w:r>
          </w:p>
        </w:tc>
        <w:tc>
          <w:tcPr>
            <w:tcW w:w="627" w:type="pct"/>
            <w:shd w:val="clear" w:color="auto" w:fill="auto"/>
            <w:vAlign w:val="bottom"/>
          </w:tcPr>
          <w:p w14:paraId="24A2F6F5"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717" w:type="pct"/>
            <w:shd w:val="clear" w:color="auto" w:fill="auto"/>
            <w:vAlign w:val="bottom"/>
          </w:tcPr>
          <w:p w14:paraId="1AE8D5F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61" w:type="pct"/>
            <w:shd w:val="clear" w:color="auto" w:fill="auto"/>
            <w:vAlign w:val="bottom"/>
          </w:tcPr>
          <w:p w14:paraId="7165511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w:t>
            </w:r>
          </w:p>
        </w:tc>
        <w:tc>
          <w:tcPr>
            <w:tcW w:w="458" w:type="pct"/>
            <w:shd w:val="clear" w:color="auto" w:fill="auto"/>
            <w:vAlign w:val="bottom"/>
          </w:tcPr>
          <w:p w14:paraId="56E438C4"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508" w:type="pct"/>
            <w:shd w:val="clear" w:color="auto" w:fill="auto"/>
            <w:vAlign w:val="bottom"/>
          </w:tcPr>
          <w:p w14:paraId="0C62A294"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kern w:val="0"/>
                <w:sz w:val="17"/>
                <w:szCs w:val="17"/>
                <w:lang w:val="en-US" w:eastAsia="zh-CN"/>
              </w:rPr>
            </w:pPr>
            <w:r w:rsidRPr="00E96905">
              <w:rPr>
                <w:bCs/>
                <w:color w:val="000000" w:themeColor="text1"/>
                <w:sz w:val="17"/>
              </w:rPr>
              <w:t>2</w:t>
            </w:r>
          </w:p>
        </w:tc>
      </w:tr>
      <w:tr w:rsidR="003F2E7C" w:rsidRPr="00E96905" w14:paraId="7DFF964A" w14:textId="77777777" w:rsidTr="00206464">
        <w:trPr>
          <w:trHeight w:val="20"/>
          <w:jc w:val="center"/>
        </w:trPr>
        <w:tc>
          <w:tcPr>
            <w:tcW w:w="1674" w:type="pct"/>
            <w:tcBorders>
              <w:bottom w:val="single" w:sz="4" w:space="0" w:color="auto"/>
            </w:tcBorders>
            <w:shd w:val="clear" w:color="auto" w:fill="auto"/>
            <w:vAlign w:val="center"/>
          </w:tcPr>
          <w:p w14:paraId="0EDF57EE" w14:textId="77777777" w:rsidR="003F2E7C" w:rsidRPr="00E96905" w:rsidRDefault="003F2E7C" w:rsidP="00206464">
            <w:pPr>
              <w:tabs>
                <w:tab w:val="left" w:pos="288"/>
                <w:tab w:val="left" w:pos="576"/>
                <w:tab w:val="left" w:pos="864"/>
                <w:tab w:val="left" w:pos="1152"/>
              </w:tabs>
              <w:spacing w:before="40" w:after="81" w:line="210" w:lineRule="exact"/>
              <w:ind w:right="40"/>
              <w:rPr>
                <w:rFonts w:eastAsia="Times New Roman"/>
                <w:color w:val="000000"/>
                <w:kern w:val="0"/>
                <w:sz w:val="17"/>
                <w:szCs w:val="17"/>
                <w:lang w:val="en-US" w:eastAsia="zh-CN"/>
              </w:rPr>
            </w:pPr>
            <w:r w:rsidRPr="00E96905">
              <w:rPr>
                <w:color w:val="000000" w:themeColor="text1"/>
                <w:sz w:val="17"/>
              </w:rPr>
              <w:t>LL</w:t>
            </w:r>
          </w:p>
        </w:tc>
        <w:tc>
          <w:tcPr>
            <w:tcW w:w="555" w:type="pct"/>
            <w:tcBorders>
              <w:bottom w:val="single" w:sz="4" w:space="0" w:color="auto"/>
            </w:tcBorders>
            <w:shd w:val="clear" w:color="auto" w:fill="auto"/>
          </w:tcPr>
          <w:p w14:paraId="293CF844"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22 </w:t>
            </w:r>
          </w:p>
        </w:tc>
        <w:tc>
          <w:tcPr>
            <w:tcW w:w="627" w:type="pct"/>
            <w:tcBorders>
              <w:bottom w:val="single" w:sz="4" w:space="0" w:color="auto"/>
            </w:tcBorders>
            <w:shd w:val="clear" w:color="auto" w:fill="auto"/>
          </w:tcPr>
          <w:p w14:paraId="230D0206"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717" w:type="pct"/>
            <w:tcBorders>
              <w:bottom w:val="single" w:sz="4" w:space="0" w:color="auto"/>
            </w:tcBorders>
            <w:shd w:val="clear" w:color="auto" w:fill="auto"/>
          </w:tcPr>
          <w:p w14:paraId="4513784C"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61" w:type="pct"/>
            <w:tcBorders>
              <w:bottom w:val="single" w:sz="4" w:space="0" w:color="auto"/>
            </w:tcBorders>
            <w:shd w:val="clear" w:color="auto" w:fill="auto"/>
          </w:tcPr>
          <w:p w14:paraId="16FAC677"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458" w:type="pct"/>
            <w:tcBorders>
              <w:bottom w:val="single" w:sz="4" w:space="0" w:color="auto"/>
            </w:tcBorders>
            <w:shd w:val="clear" w:color="auto" w:fill="auto"/>
          </w:tcPr>
          <w:p w14:paraId="2D9C8851"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 </w:t>
            </w:r>
          </w:p>
        </w:tc>
        <w:tc>
          <w:tcPr>
            <w:tcW w:w="508" w:type="pct"/>
            <w:tcBorders>
              <w:bottom w:val="single" w:sz="4" w:space="0" w:color="auto"/>
            </w:tcBorders>
            <w:shd w:val="clear" w:color="auto" w:fill="auto"/>
          </w:tcPr>
          <w:p w14:paraId="69265108"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kern w:val="0"/>
                <w:sz w:val="17"/>
                <w:szCs w:val="17"/>
                <w:lang w:val="en-US" w:eastAsia="zh-CN"/>
              </w:rPr>
            </w:pPr>
            <w:r w:rsidRPr="00E96905">
              <w:rPr>
                <w:color w:val="000000" w:themeColor="text1"/>
                <w:sz w:val="15"/>
                <w:szCs w:val="15"/>
              </w:rPr>
              <w:t xml:space="preserve">22 </w:t>
            </w:r>
          </w:p>
        </w:tc>
      </w:tr>
      <w:tr w:rsidR="003F2E7C" w:rsidRPr="00E96905" w14:paraId="6C2D3EAC" w14:textId="77777777" w:rsidTr="00206464">
        <w:trPr>
          <w:trHeight w:val="20"/>
          <w:jc w:val="center"/>
        </w:trPr>
        <w:tc>
          <w:tcPr>
            <w:tcW w:w="1674" w:type="pct"/>
            <w:tcBorders>
              <w:top w:val="single" w:sz="4" w:space="0" w:color="auto"/>
              <w:bottom w:val="single" w:sz="4" w:space="0" w:color="auto"/>
            </w:tcBorders>
            <w:shd w:val="clear" w:color="auto" w:fill="auto"/>
            <w:vAlign w:val="bottom"/>
            <w:hideMark/>
          </w:tcPr>
          <w:p w14:paraId="513594C9"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kern w:val="0"/>
                <w:sz w:val="17"/>
                <w:szCs w:val="17"/>
                <w:lang w:val="en-US" w:eastAsia="zh-CN"/>
              </w:rPr>
            </w:pPr>
            <w:r w:rsidRPr="00E96905">
              <w:rPr>
                <w:rFonts w:eastAsia="Times New Roman"/>
                <w:b/>
                <w:bCs/>
                <w:color w:val="000000"/>
                <w:kern w:val="0"/>
                <w:sz w:val="17"/>
                <w:lang w:eastAsia="zh-CN"/>
              </w:rPr>
              <w:tab/>
              <w:t>Subtotal</w:t>
            </w:r>
          </w:p>
        </w:tc>
        <w:tc>
          <w:tcPr>
            <w:tcW w:w="555" w:type="pct"/>
            <w:tcBorders>
              <w:top w:val="single" w:sz="4" w:space="0" w:color="auto"/>
              <w:bottom w:val="single" w:sz="4" w:space="0" w:color="auto"/>
            </w:tcBorders>
            <w:shd w:val="clear" w:color="auto" w:fill="auto"/>
            <w:vAlign w:val="bottom"/>
          </w:tcPr>
          <w:p w14:paraId="0F99BF42"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7"/>
              </w:rPr>
              <w:t>24</w:t>
            </w:r>
          </w:p>
        </w:tc>
        <w:tc>
          <w:tcPr>
            <w:tcW w:w="627" w:type="pct"/>
            <w:tcBorders>
              <w:top w:val="single" w:sz="4" w:space="0" w:color="auto"/>
              <w:bottom w:val="single" w:sz="4" w:space="0" w:color="auto"/>
            </w:tcBorders>
            <w:shd w:val="clear" w:color="auto" w:fill="auto"/>
          </w:tcPr>
          <w:p w14:paraId="184B1175" w14:textId="77777777" w:rsidR="003F2E7C" w:rsidRPr="00FB17C6"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A86964">
              <w:rPr>
                <w:b/>
                <w:bCs/>
                <w:color w:val="000000" w:themeColor="text1"/>
                <w:sz w:val="15"/>
                <w:szCs w:val="15"/>
              </w:rPr>
              <w:t xml:space="preserve">– </w:t>
            </w:r>
          </w:p>
        </w:tc>
        <w:tc>
          <w:tcPr>
            <w:tcW w:w="717" w:type="pct"/>
            <w:tcBorders>
              <w:top w:val="single" w:sz="4" w:space="0" w:color="auto"/>
              <w:bottom w:val="single" w:sz="4" w:space="0" w:color="auto"/>
            </w:tcBorders>
            <w:shd w:val="clear" w:color="auto" w:fill="auto"/>
          </w:tcPr>
          <w:p w14:paraId="12E97E1D" w14:textId="77777777" w:rsidR="003F2E7C" w:rsidRPr="00FB17C6"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A86964">
              <w:rPr>
                <w:b/>
                <w:bCs/>
                <w:color w:val="000000" w:themeColor="text1"/>
                <w:sz w:val="15"/>
                <w:szCs w:val="15"/>
              </w:rPr>
              <w:t xml:space="preserve">– </w:t>
            </w:r>
          </w:p>
        </w:tc>
        <w:tc>
          <w:tcPr>
            <w:tcW w:w="461" w:type="pct"/>
            <w:tcBorders>
              <w:top w:val="single" w:sz="4" w:space="0" w:color="auto"/>
              <w:bottom w:val="single" w:sz="4" w:space="0" w:color="auto"/>
            </w:tcBorders>
            <w:shd w:val="clear" w:color="auto" w:fill="auto"/>
          </w:tcPr>
          <w:p w14:paraId="2297D263" w14:textId="77777777" w:rsidR="003F2E7C" w:rsidRPr="00FB17C6"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A86964">
              <w:rPr>
                <w:b/>
                <w:bCs/>
                <w:color w:val="000000" w:themeColor="text1"/>
                <w:sz w:val="15"/>
                <w:szCs w:val="15"/>
              </w:rPr>
              <w:t>–</w:t>
            </w:r>
          </w:p>
        </w:tc>
        <w:tc>
          <w:tcPr>
            <w:tcW w:w="458" w:type="pct"/>
            <w:tcBorders>
              <w:top w:val="single" w:sz="4" w:space="0" w:color="auto"/>
              <w:bottom w:val="single" w:sz="4" w:space="0" w:color="auto"/>
            </w:tcBorders>
            <w:shd w:val="clear" w:color="auto" w:fill="auto"/>
          </w:tcPr>
          <w:p w14:paraId="356EEE1E" w14:textId="77777777" w:rsidR="003F2E7C" w:rsidRPr="00FB17C6"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A86964">
              <w:rPr>
                <w:b/>
                <w:bCs/>
                <w:color w:val="000000" w:themeColor="text1"/>
                <w:sz w:val="15"/>
                <w:szCs w:val="15"/>
              </w:rPr>
              <w:t xml:space="preserve">– </w:t>
            </w:r>
          </w:p>
        </w:tc>
        <w:tc>
          <w:tcPr>
            <w:tcW w:w="508" w:type="pct"/>
            <w:tcBorders>
              <w:top w:val="single" w:sz="4" w:space="0" w:color="auto"/>
              <w:bottom w:val="single" w:sz="4" w:space="0" w:color="auto"/>
            </w:tcBorders>
            <w:shd w:val="clear" w:color="auto" w:fill="auto"/>
            <w:vAlign w:val="bottom"/>
          </w:tcPr>
          <w:p w14:paraId="7BB1B9AE"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7"/>
              </w:rPr>
              <w:t>24</w:t>
            </w:r>
          </w:p>
        </w:tc>
      </w:tr>
      <w:tr w:rsidR="003F2E7C" w:rsidRPr="00E96905" w14:paraId="71FD4E60" w14:textId="77777777" w:rsidTr="00206464">
        <w:trPr>
          <w:trHeight w:val="20"/>
          <w:jc w:val="center"/>
        </w:trPr>
        <w:tc>
          <w:tcPr>
            <w:tcW w:w="1674" w:type="pct"/>
            <w:tcBorders>
              <w:top w:val="single" w:sz="4" w:space="0" w:color="auto"/>
              <w:bottom w:val="single" w:sz="12" w:space="0" w:color="auto"/>
            </w:tcBorders>
            <w:shd w:val="clear" w:color="auto" w:fill="auto"/>
            <w:vAlign w:val="bottom"/>
            <w:hideMark/>
          </w:tcPr>
          <w:p w14:paraId="1ECA2D12"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kern w:val="0"/>
                <w:sz w:val="17"/>
                <w:szCs w:val="17"/>
                <w:lang w:val="en-US" w:eastAsia="zh-CN"/>
              </w:rPr>
            </w:pPr>
            <w:r w:rsidRPr="00E96905">
              <w:rPr>
                <w:rFonts w:eastAsia="Times New Roman"/>
                <w:b/>
                <w:bCs/>
                <w:color w:val="000000"/>
                <w:kern w:val="0"/>
                <w:sz w:val="17"/>
                <w:szCs w:val="17"/>
                <w:lang w:val="en-US" w:eastAsia="zh-CN"/>
              </w:rPr>
              <w:tab/>
              <w:t>Total</w:t>
            </w:r>
          </w:p>
        </w:tc>
        <w:tc>
          <w:tcPr>
            <w:tcW w:w="555" w:type="pct"/>
            <w:tcBorders>
              <w:top w:val="single" w:sz="4" w:space="0" w:color="auto"/>
              <w:bottom w:val="single" w:sz="12" w:space="0" w:color="auto"/>
            </w:tcBorders>
            <w:shd w:val="clear" w:color="auto" w:fill="auto"/>
            <w:vAlign w:val="bottom"/>
          </w:tcPr>
          <w:p w14:paraId="4D2FC442"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7"/>
              </w:rPr>
              <w:t>75</w:t>
            </w:r>
          </w:p>
        </w:tc>
        <w:tc>
          <w:tcPr>
            <w:tcW w:w="627" w:type="pct"/>
            <w:tcBorders>
              <w:top w:val="single" w:sz="4" w:space="0" w:color="auto"/>
              <w:bottom w:val="single" w:sz="12" w:space="0" w:color="auto"/>
            </w:tcBorders>
            <w:shd w:val="clear" w:color="auto" w:fill="auto"/>
            <w:vAlign w:val="bottom"/>
          </w:tcPr>
          <w:p w14:paraId="3C890513" w14:textId="77777777" w:rsidR="003F2E7C" w:rsidRPr="00FB17C6"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A86964">
              <w:rPr>
                <w:b/>
                <w:bCs/>
                <w:color w:val="000000" w:themeColor="text1"/>
                <w:sz w:val="15"/>
                <w:szCs w:val="15"/>
              </w:rPr>
              <w:t xml:space="preserve">– </w:t>
            </w:r>
          </w:p>
        </w:tc>
        <w:tc>
          <w:tcPr>
            <w:tcW w:w="717" w:type="pct"/>
            <w:tcBorders>
              <w:top w:val="single" w:sz="4" w:space="0" w:color="auto"/>
              <w:bottom w:val="single" w:sz="12" w:space="0" w:color="auto"/>
            </w:tcBorders>
            <w:shd w:val="clear" w:color="auto" w:fill="auto"/>
            <w:vAlign w:val="bottom"/>
          </w:tcPr>
          <w:p w14:paraId="6F946F5C" w14:textId="77777777" w:rsidR="003F2E7C" w:rsidRPr="00FB17C6"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A86964">
              <w:rPr>
                <w:b/>
                <w:bCs/>
                <w:color w:val="000000" w:themeColor="text1"/>
                <w:sz w:val="15"/>
                <w:szCs w:val="15"/>
              </w:rPr>
              <w:t xml:space="preserve">– </w:t>
            </w:r>
          </w:p>
        </w:tc>
        <w:tc>
          <w:tcPr>
            <w:tcW w:w="461" w:type="pct"/>
            <w:tcBorders>
              <w:top w:val="single" w:sz="4" w:space="0" w:color="auto"/>
              <w:bottom w:val="single" w:sz="12" w:space="0" w:color="auto"/>
            </w:tcBorders>
            <w:shd w:val="clear" w:color="auto" w:fill="auto"/>
            <w:vAlign w:val="bottom"/>
          </w:tcPr>
          <w:p w14:paraId="2C8104E0"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5"/>
                <w:szCs w:val="15"/>
              </w:rPr>
              <w:t>–</w:t>
            </w:r>
          </w:p>
        </w:tc>
        <w:tc>
          <w:tcPr>
            <w:tcW w:w="458" w:type="pct"/>
            <w:tcBorders>
              <w:top w:val="single" w:sz="4" w:space="0" w:color="auto"/>
              <w:bottom w:val="single" w:sz="12" w:space="0" w:color="auto"/>
            </w:tcBorders>
            <w:shd w:val="clear" w:color="auto" w:fill="auto"/>
            <w:vAlign w:val="bottom"/>
          </w:tcPr>
          <w:p w14:paraId="6CA4C0F1" w14:textId="77777777" w:rsidR="003F2E7C" w:rsidRPr="00FB17C6"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A86964">
              <w:rPr>
                <w:b/>
                <w:bCs/>
                <w:color w:val="000000" w:themeColor="text1"/>
                <w:sz w:val="15"/>
                <w:szCs w:val="15"/>
              </w:rPr>
              <w:t xml:space="preserve">– </w:t>
            </w:r>
          </w:p>
        </w:tc>
        <w:tc>
          <w:tcPr>
            <w:tcW w:w="508" w:type="pct"/>
            <w:tcBorders>
              <w:top w:val="single" w:sz="4" w:space="0" w:color="auto"/>
              <w:bottom w:val="single" w:sz="12" w:space="0" w:color="auto"/>
            </w:tcBorders>
            <w:shd w:val="clear" w:color="auto" w:fill="auto"/>
            <w:vAlign w:val="bottom"/>
          </w:tcPr>
          <w:p w14:paraId="078AC6E7"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kern w:val="0"/>
                <w:sz w:val="17"/>
                <w:szCs w:val="17"/>
                <w:lang w:val="en-US" w:eastAsia="zh-CN"/>
              </w:rPr>
            </w:pPr>
            <w:r w:rsidRPr="00E96905">
              <w:rPr>
                <w:b/>
                <w:bCs/>
                <w:color w:val="000000" w:themeColor="text1"/>
                <w:sz w:val="17"/>
              </w:rPr>
              <w:t>75</w:t>
            </w:r>
          </w:p>
        </w:tc>
      </w:tr>
    </w:tbl>
    <w:p w14:paraId="1DB4BD80" w14:textId="77777777" w:rsidR="003F2E7C" w:rsidRPr="00E96905" w:rsidRDefault="003F2E7C" w:rsidP="003F2E7C">
      <w:pPr>
        <w:pStyle w:val="SingleTxt"/>
        <w:spacing w:after="0" w:line="120" w:lineRule="exact"/>
        <w:rPr>
          <w:sz w:val="10"/>
        </w:rPr>
      </w:pPr>
    </w:p>
    <w:p w14:paraId="39D69E75" w14:textId="77777777" w:rsidR="003F2E7C" w:rsidRPr="00E96905" w:rsidRDefault="003F2E7C" w:rsidP="003F2E7C">
      <w:pPr>
        <w:pStyle w:val="SingleTxt"/>
        <w:spacing w:after="0" w:line="120" w:lineRule="exact"/>
        <w:rPr>
          <w:sz w:val="10"/>
        </w:rPr>
      </w:pPr>
    </w:p>
    <w:p w14:paraId="7989C8DD"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w:t>
      </w:r>
      <w:r>
        <w:t>30</w:t>
      </w:r>
      <w:r w:rsidRPr="00E96905">
        <w:tab/>
        <w:t>Additional details on the distribution of the proposed resources for 2022 are reflected in tables 15.14 to 15.16 and figure 15.XII.</w:t>
      </w:r>
    </w:p>
    <w:p w14:paraId="35EBC8BC"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15.13</w:t>
      </w:r>
      <w:r>
        <w:t>1</w:t>
      </w:r>
      <w:r w:rsidRPr="00E96905">
        <w:tab/>
        <w:t xml:space="preserve">As reflected in tables 15.14 (1) and 15.15 (1), the overall resources proposed for 2022 amount to $13,289,000 before recosting, reflecting a net increase of $793,200 (or 6.3 per cent) compared with the appropriation for 2021. Resource changes result from three factors, namely: (a) technical adjustments; (b) new and expanded mandates; and (c) other changes. The proposed level of resources provides for the full, efficient and effective implementation of mandates. </w:t>
      </w:r>
    </w:p>
    <w:p w14:paraId="3180B747" w14:textId="77777777" w:rsidR="003F2E7C" w:rsidRPr="00E96905" w:rsidRDefault="003F2E7C" w:rsidP="003F2E7C">
      <w:pPr>
        <w:pStyle w:val="SingleTxt"/>
        <w:spacing w:after="0" w:line="120" w:lineRule="exact"/>
        <w:rPr>
          <w:sz w:val="10"/>
        </w:rPr>
      </w:pPr>
    </w:p>
    <w:p w14:paraId="3203F69C"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E96905">
        <w:rPr>
          <w:b w:val="0"/>
          <w:bCs/>
        </w:rPr>
        <w:t>Table 15.14</w:t>
      </w:r>
    </w:p>
    <w:p w14:paraId="5D189404"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651" w:hanging="1267"/>
      </w:pPr>
      <w:r w:rsidRPr="00E96905">
        <w:t>Overall: evolution of financial resources by source of funding, component and subprogramme</w:t>
      </w:r>
    </w:p>
    <w:p w14:paraId="12F33306" w14:textId="77777777" w:rsidR="003F2E7C" w:rsidRPr="00E96905" w:rsidRDefault="003F2E7C" w:rsidP="003F2E7C">
      <w:pPr>
        <w:rPr>
          <w:sz w:val="14"/>
          <w:szCs w:val="14"/>
        </w:rPr>
      </w:pPr>
      <w:r w:rsidRPr="00E96905">
        <w:rPr>
          <w:sz w:val="14"/>
          <w:szCs w:val="14"/>
        </w:rPr>
        <w:t>(Thousands of United States dollars)</w:t>
      </w:r>
    </w:p>
    <w:p w14:paraId="16F9314B" w14:textId="77777777" w:rsidR="003F2E7C" w:rsidRPr="00E96905" w:rsidRDefault="003F2E7C" w:rsidP="003F2E7C">
      <w:pPr>
        <w:pStyle w:val="SingleTxt"/>
        <w:spacing w:after="0" w:line="120" w:lineRule="exact"/>
        <w:rPr>
          <w:sz w:val="10"/>
        </w:rPr>
      </w:pPr>
    </w:p>
    <w:p w14:paraId="70E4C1FD" w14:textId="77777777" w:rsidR="003F2E7C" w:rsidRPr="00E96905" w:rsidRDefault="003F2E7C" w:rsidP="003F2E7C">
      <w:pPr>
        <w:pStyle w:val="H4"/>
        <w:ind w:right="1260"/>
      </w:pPr>
      <w:r w:rsidRPr="00E96905">
        <w:tab/>
      </w:r>
      <w:r w:rsidRPr="00E96905">
        <w:rPr>
          <w:i w:val="0"/>
          <w:iCs/>
        </w:rPr>
        <w:t>(1)</w:t>
      </w:r>
      <w:r w:rsidRPr="00E96905">
        <w:tab/>
        <w:t xml:space="preserve">Regular budget </w:t>
      </w:r>
    </w:p>
    <w:p w14:paraId="12F30C83" w14:textId="77777777" w:rsidR="003F2E7C" w:rsidRPr="00E96905" w:rsidRDefault="003F2E7C" w:rsidP="003F2E7C">
      <w:pPr>
        <w:pStyle w:val="SingleTxt"/>
        <w:spacing w:after="0" w:line="120" w:lineRule="exact"/>
        <w:rPr>
          <w:sz w:val="10"/>
        </w:rPr>
      </w:pPr>
    </w:p>
    <w:p w14:paraId="1133ABF9" w14:textId="77777777" w:rsidR="003F2E7C" w:rsidRPr="00E96905" w:rsidRDefault="003F2E7C" w:rsidP="003F2E7C">
      <w:pPr>
        <w:pStyle w:val="SingleTxt"/>
        <w:spacing w:after="0" w:line="120" w:lineRule="exact"/>
        <w:rPr>
          <w:sz w:val="10"/>
        </w:rPr>
      </w:pPr>
    </w:p>
    <w:tbl>
      <w:tblPr>
        <w:tblW w:w="5000" w:type="pct"/>
        <w:tblLayout w:type="fixed"/>
        <w:tblCellMar>
          <w:left w:w="0" w:type="dxa"/>
          <w:right w:w="0" w:type="dxa"/>
        </w:tblCellMar>
        <w:tblLook w:val="04A0" w:firstRow="1" w:lastRow="0" w:firstColumn="1" w:lastColumn="0" w:noHBand="0" w:noVBand="1"/>
      </w:tblPr>
      <w:tblGrid>
        <w:gridCol w:w="2504"/>
        <w:gridCol w:w="918"/>
        <w:gridCol w:w="1001"/>
        <w:gridCol w:w="910"/>
        <w:gridCol w:w="845"/>
        <w:gridCol w:w="918"/>
        <w:gridCol w:w="877"/>
        <w:gridCol w:w="857"/>
        <w:gridCol w:w="1020"/>
      </w:tblGrid>
      <w:tr w:rsidR="003F2E7C" w:rsidRPr="00E96905" w14:paraId="3211F859" w14:textId="77777777" w:rsidTr="00206464">
        <w:trPr>
          <w:trHeight w:val="20"/>
          <w:tblHeader/>
        </w:trPr>
        <w:tc>
          <w:tcPr>
            <w:tcW w:w="1271" w:type="pct"/>
            <w:tcBorders>
              <w:top w:val="single" w:sz="4" w:space="0" w:color="auto"/>
            </w:tcBorders>
            <w:shd w:val="clear" w:color="auto" w:fill="auto"/>
            <w:vAlign w:val="bottom"/>
          </w:tcPr>
          <w:p w14:paraId="065933A5" w14:textId="77777777" w:rsidR="003F2E7C" w:rsidRPr="00E96905" w:rsidRDefault="003F2E7C" w:rsidP="00206464">
            <w:pPr>
              <w:spacing w:before="81" w:after="81" w:line="160" w:lineRule="exact"/>
              <w:ind w:right="40"/>
              <w:rPr>
                <w:rFonts w:eastAsia="Times New Roman"/>
                <w:i/>
                <w:iCs/>
                <w:color w:val="000000"/>
                <w:spacing w:val="0"/>
                <w:w w:val="100"/>
                <w:kern w:val="0"/>
                <w:sz w:val="14"/>
                <w:szCs w:val="17"/>
                <w:lang w:val="en-US" w:eastAsia="zh-CN"/>
              </w:rPr>
            </w:pPr>
          </w:p>
        </w:tc>
        <w:tc>
          <w:tcPr>
            <w:tcW w:w="466" w:type="pct"/>
            <w:tcBorders>
              <w:top w:val="single" w:sz="4" w:space="0" w:color="auto"/>
            </w:tcBorders>
            <w:shd w:val="clear" w:color="auto" w:fill="auto"/>
            <w:vAlign w:val="bottom"/>
          </w:tcPr>
          <w:p w14:paraId="271EFFA9"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p>
        </w:tc>
        <w:tc>
          <w:tcPr>
            <w:tcW w:w="508" w:type="pct"/>
            <w:tcBorders>
              <w:top w:val="single" w:sz="4" w:space="0" w:color="auto"/>
            </w:tcBorders>
            <w:shd w:val="clear" w:color="auto" w:fill="auto"/>
            <w:vAlign w:val="bottom"/>
          </w:tcPr>
          <w:p w14:paraId="6B42AB24"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p>
        </w:tc>
        <w:tc>
          <w:tcPr>
            <w:tcW w:w="2237" w:type="pct"/>
            <w:gridSpan w:val="5"/>
            <w:tcBorders>
              <w:top w:val="single" w:sz="4" w:space="0" w:color="auto"/>
              <w:bottom w:val="single" w:sz="4" w:space="0" w:color="auto"/>
            </w:tcBorders>
            <w:shd w:val="clear" w:color="auto" w:fill="auto"/>
            <w:vAlign w:val="bottom"/>
          </w:tcPr>
          <w:p w14:paraId="77AC7F7B" w14:textId="77777777" w:rsidR="003F2E7C" w:rsidRPr="00E96905" w:rsidRDefault="003F2E7C" w:rsidP="00206464">
            <w:pPr>
              <w:spacing w:before="81" w:after="81" w:line="160" w:lineRule="exact"/>
              <w:ind w:left="144" w:right="40"/>
              <w:jc w:val="center"/>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Changes</w:t>
            </w:r>
          </w:p>
        </w:tc>
        <w:tc>
          <w:tcPr>
            <w:tcW w:w="518" w:type="pct"/>
            <w:vMerge w:val="restart"/>
            <w:tcBorders>
              <w:top w:val="single" w:sz="4" w:space="0" w:color="auto"/>
            </w:tcBorders>
            <w:shd w:val="clear" w:color="auto" w:fill="auto"/>
            <w:vAlign w:val="bottom"/>
          </w:tcPr>
          <w:p w14:paraId="2FA3982E"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2022 estimate (before recosting)</w:t>
            </w:r>
          </w:p>
        </w:tc>
      </w:tr>
      <w:tr w:rsidR="003F2E7C" w:rsidRPr="00E96905" w14:paraId="1B8D463C" w14:textId="77777777" w:rsidTr="00206464">
        <w:trPr>
          <w:trHeight w:val="20"/>
          <w:tblHeader/>
        </w:trPr>
        <w:tc>
          <w:tcPr>
            <w:tcW w:w="1271" w:type="pct"/>
            <w:tcBorders>
              <w:bottom w:val="single" w:sz="12" w:space="0" w:color="auto"/>
            </w:tcBorders>
            <w:shd w:val="clear" w:color="auto" w:fill="auto"/>
            <w:vAlign w:val="bottom"/>
            <w:hideMark/>
          </w:tcPr>
          <w:p w14:paraId="76714DCA" w14:textId="77777777" w:rsidR="003F2E7C" w:rsidRPr="00E96905" w:rsidRDefault="003F2E7C" w:rsidP="00206464">
            <w:pPr>
              <w:spacing w:before="81" w:after="81" w:line="160" w:lineRule="exact"/>
              <w:ind w:right="40"/>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Component/subprogramme</w:t>
            </w:r>
          </w:p>
        </w:tc>
        <w:tc>
          <w:tcPr>
            <w:tcW w:w="466" w:type="pct"/>
            <w:tcBorders>
              <w:bottom w:val="single" w:sz="12" w:space="0" w:color="auto"/>
            </w:tcBorders>
            <w:shd w:val="clear" w:color="auto" w:fill="auto"/>
            <w:vAlign w:val="bottom"/>
            <w:hideMark/>
          </w:tcPr>
          <w:p w14:paraId="73C227F4"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2020 expenditure</w:t>
            </w:r>
          </w:p>
        </w:tc>
        <w:tc>
          <w:tcPr>
            <w:tcW w:w="508" w:type="pct"/>
            <w:tcBorders>
              <w:bottom w:val="single" w:sz="12" w:space="0" w:color="auto"/>
            </w:tcBorders>
            <w:shd w:val="clear" w:color="auto" w:fill="auto"/>
            <w:vAlign w:val="bottom"/>
            <w:hideMark/>
          </w:tcPr>
          <w:p w14:paraId="7A83B94B"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2021 appropriation</w:t>
            </w:r>
          </w:p>
        </w:tc>
        <w:tc>
          <w:tcPr>
            <w:tcW w:w="462" w:type="pct"/>
            <w:tcBorders>
              <w:top w:val="single" w:sz="4" w:space="0" w:color="auto"/>
              <w:bottom w:val="single" w:sz="12" w:space="0" w:color="auto"/>
            </w:tcBorders>
            <w:shd w:val="clear" w:color="auto" w:fill="auto"/>
            <w:vAlign w:val="bottom"/>
            <w:hideMark/>
          </w:tcPr>
          <w:p w14:paraId="2A68639D"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Technical adjustments</w:t>
            </w:r>
          </w:p>
        </w:tc>
        <w:tc>
          <w:tcPr>
            <w:tcW w:w="429" w:type="pct"/>
            <w:tcBorders>
              <w:top w:val="single" w:sz="4" w:space="0" w:color="auto"/>
              <w:bottom w:val="single" w:sz="12" w:space="0" w:color="auto"/>
            </w:tcBorders>
            <w:shd w:val="clear" w:color="auto" w:fill="auto"/>
            <w:vAlign w:val="bottom"/>
            <w:hideMark/>
          </w:tcPr>
          <w:p w14:paraId="01C25122"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 xml:space="preserve">New/ expanded mandates </w:t>
            </w:r>
          </w:p>
        </w:tc>
        <w:tc>
          <w:tcPr>
            <w:tcW w:w="466" w:type="pct"/>
            <w:tcBorders>
              <w:top w:val="single" w:sz="4" w:space="0" w:color="auto"/>
              <w:bottom w:val="single" w:sz="12" w:space="0" w:color="auto"/>
            </w:tcBorders>
            <w:shd w:val="clear" w:color="auto" w:fill="auto"/>
            <w:vAlign w:val="bottom"/>
            <w:hideMark/>
          </w:tcPr>
          <w:p w14:paraId="16AF49B0"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 xml:space="preserve">Other </w:t>
            </w:r>
          </w:p>
        </w:tc>
        <w:tc>
          <w:tcPr>
            <w:tcW w:w="445" w:type="pct"/>
            <w:tcBorders>
              <w:top w:val="single" w:sz="4" w:space="0" w:color="auto"/>
              <w:bottom w:val="single" w:sz="12" w:space="0" w:color="auto"/>
            </w:tcBorders>
            <w:shd w:val="clear" w:color="auto" w:fill="auto"/>
            <w:vAlign w:val="bottom"/>
            <w:hideMark/>
          </w:tcPr>
          <w:p w14:paraId="5DAAB197"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 xml:space="preserve">Total </w:t>
            </w:r>
          </w:p>
        </w:tc>
        <w:tc>
          <w:tcPr>
            <w:tcW w:w="435" w:type="pct"/>
            <w:tcBorders>
              <w:top w:val="single" w:sz="4" w:space="0" w:color="auto"/>
              <w:bottom w:val="single" w:sz="12" w:space="0" w:color="auto"/>
            </w:tcBorders>
            <w:shd w:val="clear" w:color="auto" w:fill="auto"/>
            <w:vAlign w:val="bottom"/>
            <w:hideMark/>
          </w:tcPr>
          <w:p w14:paraId="786BD7BA"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Percentage</w:t>
            </w:r>
          </w:p>
        </w:tc>
        <w:tc>
          <w:tcPr>
            <w:tcW w:w="518" w:type="pct"/>
            <w:vMerge/>
            <w:tcBorders>
              <w:bottom w:val="single" w:sz="12" w:space="0" w:color="auto"/>
            </w:tcBorders>
            <w:shd w:val="clear" w:color="auto" w:fill="auto"/>
            <w:vAlign w:val="bottom"/>
            <w:hideMark/>
          </w:tcPr>
          <w:p w14:paraId="5C3FEDA9"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p>
        </w:tc>
      </w:tr>
      <w:tr w:rsidR="003F2E7C" w:rsidRPr="00E96905" w14:paraId="0673FB82" w14:textId="77777777" w:rsidTr="00206464">
        <w:trPr>
          <w:trHeight w:hRule="exact" w:val="115"/>
          <w:tblHeader/>
        </w:trPr>
        <w:tc>
          <w:tcPr>
            <w:tcW w:w="1271" w:type="pct"/>
            <w:tcBorders>
              <w:top w:val="single" w:sz="12" w:space="0" w:color="auto"/>
            </w:tcBorders>
            <w:shd w:val="clear" w:color="auto" w:fill="auto"/>
            <w:vAlign w:val="bottom"/>
          </w:tcPr>
          <w:p w14:paraId="15CC3D79" w14:textId="77777777" w:rsidR="003F2E7C" w:rsidRPr="00E96905" w:rsidRDefault="003F2E7C" w:rsidP="00206464">
            <w:pPr>
              <w:spacing w:before="40" w:after="40" w:line="210" w:lineRule="exact"/>
              <w:ind w:right="40"/>
              <w:rPr>
                <w:rFonts w:eastAsia="Times New Roman"/>
                <w:color w:val="000000"/>
                <w:spacing w:val="0"/>
                <w:w w:val="100"/>
                <w:kern w:val="0"/>
                <w:sz w:val="17"/>
                <w:szCs w:val="17"/>
                <w:lang w:val="en-US" w:eastAsia="zh-CN"/>
              </w:rPr>
            </w:pPr>
          </w:p>
        </w:tc>
        <w:tc>
          <w:tcPr>
            <w:tcW w:w="466" w:type="pct"/>
            <w:tcBorders>
              <w:top w:val="single" w:sz="12" w:space="0" w:color="auto"/>
            </w:tcBorders>
            <w:shd w:val="clear" w:color="auto" w:fill="auto"/>
            <w:vAlign w:val="bottom"/>
          </w:tcPr>
          <w:p w14:paraId="575EFDFB"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508" w:type="pct"/>
            <w:tcBorders>
              <w:top w:val="single" w:sz="12" w:space="0" w:color="auto"/>
            </w:tcBorders>
            <w:shd w:val="clear" w:color="auto" w:fill="auto"/>
            <w:vAlign w:val="bottom"/>
          </w:tcPr>
          <w:p w14:paraId="72427AC5"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462" w:type="pct"/>
            <w:tcBorders>
              <w:top w:val="single" w:sz="12" w:space="0" w:color="auto"/>
            </w:tcBorders>
            <w:shd w:val="clear" w:color="auto" w:fill="auto"/>
            <w:vAlign w:val="bottom"/>
          </w:tcPr>
          <w:p w14:paraId="7B6CC9AE"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429" w:type="pct"/>
            <w:tcBorders>
              <w:top w:val="single" w:sz="12" w:space="0" w:color="auto"/>
            </w:tcBorders>
            <w:shd w:val="clear" w:color="auto" w:fill="auto"/>
            <w:vAlign w:val="bottom"/>
          </w:tcPr>
          <w:p w14:paraId="17820AA1"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466" w:type="pct"/>
            <w:tcBorders>
              <w:top w:val="single" w:sz="12" w:space="0" w:color="auto"/>
            </w:tcBorders>
            <w:shd w:val="clear" w:color="auto" w:fill="auto"/>
            <w:vAlign w:val="bottom"/>
          </w:tcPr>
          <w:p w14:paraId="72DE840C"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445" w:type="pct"/>
            <w:tcBorders>
              <w:top w:val="single" w:sz="12" w:space="0" w:color="auto"/>
            </w:tcBorders>
            <w:shd w:val="clear" w:color="auto" w:fill="auto"/>
            <w:vAlign w:val="bottom"/>
          </w:tcPr>
          <w:p w14:paraId="5D7CBE16"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435" w:type="pct"/>
            <w:tcBorders>
              <w:top w:val="single" w:sz="12" w:space="0" w:color="auto"/>
            </w:tcBorders>
            <w:shd w:val="clear" w:color="auto" w:fill="auto"/>
            <w:vAlign w:val="bottom"/>
          </w:tcPr>
          <w:p w14:paraId="15954A68"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518" w:type="pct"/>
            <w:tcBorders>
              <w:top w:val="single" w:sz="12" w:space="0" w:color="auto"/>
            </w:tcBorders>
            <w:shd w:val="clear" w:color="auto" w:fill="auto"/>
            <w:vAlign w:val="bottom"/>
          </w:tcPr>
          <w:p w14:paraId="1B54274A"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r>
      <w:tr w:rsidR="003F2E7C" w:rsidRPr="00E96905" w14:paraId="152BC414" w14:textId="77777777" w:rsidTr="00206464">
        <w:trPr>
          <w:trHeight w:val="20"/>
        </w:trPr>
        <w:tc>
          <w:tcPr>
            <w:tcW w:w="1271" w:type="pct"/>
            <w:shd w:val="clear" w:color="auto" w:fill="auto"/>
            <w:vAlign w:val="center"/>
            <w:hideMark/>
          </w:tcPr>
          <w:p w14:paraId="2A84517E" w14:textId="77777777" w:rsidR="003F2E7C" w:rsidRPr="00E96905" w:rsidRDefault="003F2E7C" w:rsidP="00206464">
            <w:pPr>
              <w:tabs>
                <w:tab w:val="left" w:pos="288"/>
                <w:tab w:val="left" w:pos="576"/>
                <w:tab w:val="left" w:pos="864"/>
                <w:tab w:val="left" w:pos="1152"/>
              </w:tabs>
              <w:spacing w:before="40" w:after="40" w:line="210" w:lineRule="exact"/>
              <w:ind w:left="288" w:right="40" w:hanging="288"/>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A.</w:t>
            </w:r>
            <w:r w:rsidRPr="00E96905">
              <w:rPr>
                <w:rFonts w:eastAsia="Times New Roman"/>
                <w:color w:val="000000" w:themeColor="text1"/>
                <w:spacing w:val="0"/>
                <w:w w:val="100"/>
                <w:kern w:val="0"/>
                <w:sz w:val="17"/>
                <w:szCs w:val="17"/>
                <w:lang w:val="en-US" w:eastAsia="zh-CN"/>
              </w:rPr>
              <w:tab/>
              <w:t>Policymaking organs</w:t>
            </w:r>
          </w:p>
        </w:tc>
        <w:tc>
          <w:tcPr>
            <w:tcW w:w="466" w:type="pct"/>
            <w:shd w:val="clear" w:color="auto" w:fill="auto"/>
            <w:vAlign w:val="center"/>
          </w:tcPr>
          <w:p w14:paraId="31370925"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609.3</w:t>
            </w:r>
          </w:p>
        </w:tc>
        <w:tc>
          <w:tcPr>
            <w:tcW w:w="508" w:type="pct"/>
            <w:shd w:val="clear" w:color="auto" w:fill="auto"/>
            <w:vAlign w:val="center"/>
          </w:tcPr>
          <w:p w14:paraId="27669707"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590.2</w:t>
            </w:r>
          </w:p>
        </w:tc>
        <w:tc>
          <w:tcPr>
            <w:tcW w:w="462" w:type="pct"/>
            <w:shd w:val="clear" w:color="auto" w:fill="auto"/>
            <w:vAlign w:val="center"/>
          </w:tcPr>
          <w:p w14:paraId="25BC9F1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429" w:type="pct"/>
            <w:shd w:val="clear" w:color="auto" w:fill="auto"/>
            <w:vAlign w:val="center"/>
          </w:tcPr>
          <w:p w14:paraId="502F198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466" w:type="pct"/>
            <w:shd w:val="clear" w:color="auto" w:fill="auto"/>
            <w:vAlign w:val="center"/>
          </w:tcPr>
          <w:p w14:paraId="39F24AE5"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445" w:type="pct"/>
            <w:shd w:val="clear" w:color="auto" w:fill="auto"/>
            <w:vAlign w:val="center"/>
          </w:tcPr>
          <w:p w14:paraId="1F3015A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435" w:type="pct"/>
            <w:shd w:val="clear" w:color="auto" w:fill="auto"/>
            <w:vAlign w:val="center"/>
          </w:tcPr>
          <w:p w14:paraId="12BB4EB5"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518" w:type="pct"/>
            <w:shd w:val="clear" w:color="auto" w:fill="auto"/>
            <w:vAlign w:val="center"/>
          </w:tcPr>
          <w:p w14:paraId="36C74195"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590.2</w:t>
            </w:r>
          </w:p>
        </w:tc>
      </w:tr>
      <w:tr w:rsidR="003F2E7C" w:rsidRPr="00E96905" w14:paraId="520EF5FD" w14:textId="77777777" w:rsidTr="00206464">
        <w:trPr>
          <w:trHeight w:val="20"/>
        </w:trPr>
        <w:tc>
          <w:tcPr>
            <w:tcW w:w="1271" w:type="pct"/>
            <w:shd w:val="clear" w:color="auto" w:fill="auto"/>
            <w:vAlign w:val="center"/>
            <w:hideMark/>
          </w:tcPr>
          <w:p w14:paraId="4B0DE9AA" w14:textId="77777777" w:rsidR="003F2E7C" w:rsidRPr="00E96905" w:rsidRDefault="003F2E7C" w:rsidP="00206464">
            <w:pPr>
              <w:tabs>
                <w:tab w:val="left" w:pos="288"/>
                <w:tab w:val="left" w:pos="576"/>
                <w:tab w:val="left" w:pos="864"/>
                <w:tab w:val="left" w:pos="1152"/>
              </w:tabs>
              <w:spacing w:before="40" w:after="40" w:line="210" w:lineRule="exact"/>
              <w:ind w:left="288" w:right="40" w:hanging="288"/>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B.</w:t>
            </w:r>
            <w:r w:rsidRPr="00E96905">
              <w:rPr>
                <w:rFonts w:eastAsia="Times New Roman"/>
                <w:color w:val="000000" w:themeColor="text1"/>
                <w:spacing w:val="0"/>
                <w:w w:val="100"/>
                <w:kern w:val="0"/>
                <w:sz w:val="17"/>
                <w:szCs w:val="17"/>
                <w:lang w:val="en-US" w:eastAsia="zh-CN"/>
              </w:rPr>
              <w:tab/>
              <w:t xml:space="preserve">Executive direction and management </w:t>
            </w:r>
          </w:p>
        </w:tc>
        <w:tc>
          <w:tcPr>
            <w:tcW w:w="466" w:type="pct"/>
            <w:shd w:val="clear" w:color="auto" w:fill="auto"/>
            <w:vAlign w:val="bottom"/>
          </w:tcPr>
          <w:p w14:paraId="6FC9F3A6" w14:textId="77777777" w:rsidR="003F2E7C" w:rsidRPr="00E96905" w:rsidRDefault="003F2E7C" w:rsidP="00206464">
            <w:pPr>
              <w:tabs>
                <w:tab w:val="left" w:pos="288"/>
                <w:tab w:val="left" w:pos="576"/>
                <w:tab w:val="left" w:pos="864"/>
                <w:tab w:val="left" w:pos="1152"/>
              </w:tabs>
              <w:spacing w:before="40" w:after="40" w:line="210" w:lineRule="exact"/>
              <w:ind w:left="144" w:right="40" w:firstLineChars="100" w:firstLine="17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1 537.2</w:t>
            </w:r>
          </w:p>
        </w:tc>
        <w:tc>
          <w:tcPr>
            <w:tcW w:w="508" w:type="pct"/>
            <w:shd w:val="clear" w:color="auto" w:fill="auto"/>
            <w:vAlign w:val="bottom"/>
          </w:tcPr>
          <w:p w14:paraId="31951FCA"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1 640.8</w:t>
            </w:r>
          </w:p>
        </w:tc>
        <w:tc>
          <w:tcPr>
            <w:tcW w:w="462" w:type="pct"/>
            <w:shd w:val="clear" w:color="auto" w:fill="auto"/>
            <w:vAlign w:val="bottom"/>
          </w:tcPr>
          <w:p w14:paraId="40F1653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w:t>
            </w:r>
          </w:p>
        </w:tc>
        <w:tc>
          <w:tcPr>
            <w:tcW w:w="429" w:type="pct"/>
            <w:shd w:val="clear" w:color="auto" w:fill="auto"/>
            <w:vAlign w:val="bottom"/>
          </w:tcPr>
          <w:p w14:paraId="07C4F13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w:t>
            </w:r>
          </w:p>
        </w:tc>
        <w:tc>
          <w:tcPr>
            <w:tcW w:w="466" w:type="pct"/>
            <w:shd w:val="clear" w:color="auto" w:fill="auto"/>
            <w:vAlign w:val="bottom"/>
          </w:tcPr>
          <w:p w14:paraId="29664C42"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(125.1)</w:t>
            </w:r>
          </w:p>
        </w:tc>
        <w:tc>
          <w:tcPr>
            <w:tcW w:w="445" w:type="pct"/>
            <w:shd w:val="clear" w:color="auto" w:fill="auto"/>
            <w:vAlign w:val="bottom"/>
          </w:tcPr>
          <w:p w14:paraId="548836D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(125.1)</w:t>
            </w:r>
          </w:p>
        </w:tc>
        <w:tc>
          <w:tcPr>
            <w:tcW w:w="435" w:type="pct"/>
            <w:shd w:val="clear" w:color="auto" w:fill="auto"/>
            <w:vAlign w:val="bottom"/>
          </w:tcPr>
          <w:p w14:paraId="08AC14FF"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(7.6)</w:t>
            </w:r>
          </w:p>
        </w:tc>
        <w:tc>
          <w:tcPr>
            <w:tcW w:w="518" w:type="pct"/>
            <w:shd w:val="clear" w:color="auto" w:fill="auto"/>
            <w:vAlign w:val="bottom"/>
          </w:tcPr>
          <w:p w14:paraId="4CAE340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1 515.7</w:t>
            </w:r>
          </w:p>
        </w:tc>
      </w:tr>
      <w:tr w:rsidR="003F2E7C" w:rsidRPr="00E96905" w14:paraId="65BBAC9B" w14:textId="77777777" w:rsidTr="00206464">
        <w:trPr>
          <w:trHeight w:val="20"/>
        </w:trPr>
        <w:tc>
          <w:tcPr>
            <w:tcW w:w="1271" w:type="pct"/>
            <w:shd w:val="clear" w:color="auto" w:fill="auto"/>
            <w:vAlign w:val="center"/>
          </w:tcPr>
          <w:p w14:paraId="22FFD802" w14:textId="77777777" w:rsidR="003F2E7C" w:rsidRPr="00E96905" w:rsidRDefault="003F2E7C" w:rsidP="00206464">
            <w:pPr>
              <w:tabs>
                <w:tab w:val="left" w:pos="288"/>
                <w:tab w:val="left" w:pos="576"/>
                <w:tab w:val="left" w:pos="864"/>
                <w:tab w:val="left" w:pos="1152"/>
              </w:tabs>
              <w:spacing w:before="40" w:after="40" w:line="210" w:lineRule="exact"/>
              <w:ind w:left="288" w:right="40" w:hanging="288"/>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C.</w:t>
            </w:r>
            <w:r w:rsidRPr="00E96905">
              <w:rPr>
                <w:rFonts w:eastAsia="Times New Roman"/>
                <w:color w:val="000000" w:themeColor="text1"/>
                <w:spacing w:val="0"/>
                <w:w w:val="100"/>
                <w:kern w:val="0"/>
                <w:sz w:val="17"/>
                <w:szCs w:val="17"/>
                <w:lang w:val="en-US" w:eastAsia="zh-CN"/>
              </w:rPr>
              <w:tab/>
              <w:t>Programme of work</w:t>
            </w:r>
          </w:p>
        </w:tc>
        <w:tc>
          <w:tcPr>
            <w:tcW w:w="466" w:type="pct"/>
            <w:shd w:val="clear" w:color="auto" w:fill="auto"/>
            <w:vAlign w:val="bottom"/>
          </w:tcPr>
          <w:p w14:paraId="4C0E8A2F" w14:textId="77777777" w:rsidR="003F2E7C" w:rsidRPr="00E96905" w:rsidRDefault="003F2E7C" w:rsidP="00206464">
            <w:pPr>
              <w:tabs>
                <w:tab w:val="left" w:pos="288"/>
                <w:tab w:val="left" w:pos="576"/>
                <w:tab w:val="left" w:pos="864"/>
                <w:tab w:val="left" w:pos="1152"/>
              </w:tabs>
              <w:spacing w:before="40" w:after="40" w:line="210" w:lineRule="exact"/>
              <w:ind w:left="144" w:right="40" w:firstLineChars="100" w:firstLine="170"/>
              <w:jc w:val="right"/>
              <w:rPr>
                <w:rFonts w:eastAsia="Times New Roman"/>
                <w:color w:val="000000"/>
                <w:spacing w:val="0"/>
                <w:w w:val="100"/>
                <w:kern w:val="0"/>
                <w:sz w:val="17"/>
                <w:szCs w:val="17"/>
                <w:lang w:val="en-US" w:eastAsia="zh-CN"/>
              </w:rPr>
            </w:pPr>
          </w:p>
        </w:tc>
        <w:tc>
          <w:tcPr>
            <w:tcW w:w="508" w:type="pct"/>
            <w:shd w:val="clear" w:color="auto" w:fill="auto"/>
            <w:vAlign w:val="bottom"/>
          </w:tcPr>
          <w:p w14:paraId="64D8158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462" w:type="pct"/>
            <w:shd w:val="clear" w:color="auto" w:fill="auto"/>
            <w:vAlign w:val="bottom"/>
          </w:tcPr>
          <w:p w14:paraId="50BE977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429" w:type="pct"/>
            <w:shd w:val="clear" w:color="auto" w:fill="auto"/>
            <w:vAlign w:val="bottom"/>
          </w:tcPr>
          <w:p w14:paraId="3AC5654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466" w:type="pct"/>
            <w:shd w:val="clear" w:color="auto" w:fill="auto"/>
            <w:vAlign w:val="bottom"/>
          </w:tcPr>
          <w:p w14:paraId="41CB45B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445" w:type="pct"/>
            <w:shd w:val="clear" w:color="auto" w:fill="auto"/>
            <w:vAlign w:val="bottom"/>
          </w:tcPr>
          <w:p w14:paraId="2E3E26B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435" w:type="pct"/>
            <w:shd w:val="clear" w:color="auto" w:fill="auto"/>
            <w:vAlign w:val="bottom"/>
          </w:tcPr>
          <w:p w14:paraId="215F2A65"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518" w:type="pct"/>
            <w:shd w:val="clear" w:color="auto" w:fill="auto"/>
            <w:vAlign w:val="bottom"/>
          </w:tcPr>
          <w:p w14:paraId="5AEA3337"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r>
      <w:tr w:rsidR="003F2E7C" w:rsidRPr="00E96905" w14:paraId="11006B07" w14:textId="77777777" w:rsidTr="00206464">
        <w:trPr>
          <w:trHeight w:val="20"/>
        </w:trPr>
        <w:tc>
          <w:tcPr>
            <w:tcW w:w="1271" w:type="pct"/>
            <w:shd w:val="clear" w:color="auto" w:fill="auto"/>
            <w:vAlign w:val="center"/>
          </w:tcPr>
          <w:p w14:paraId="6BD9982A" w14:textId="77777777" w:rsidR="003F2E7C" w:rsidRPr="00E96905" w:rsidRDefault="003F2E7C" w:rsidP="00206464">
            <w:pPr>
              <w:tabs>
                <w:tab w:val="left" w:pos="288"/>
                <w:tab w:val="left" w:pos="576"/>
                <w:tab w:val="left" w:pos="864"/>
                <w:tab w:val="left" w:pos="1152"/>
              </w:tabs>
              <w:spacing w:before="40" w:after="40" w:line="210" w:lineRule="exact"/>
              <w:ind w:left="576" w:right="43" w:hanging="576"/>
              <w:rPr>
                <w:rFonts w:eastAsia="Times New Roman"/>
                <w:color w:val="000000"/>
                <w:spacing w:val="0"/>
                <w:w w:val="100"/>
                <w:kern w:val="0"/>
                <w:sz w:val="17"/>
                <w:szCs w:val="17"/>
                <w:lang w:val="en-US" w:eastAsia="zh-CN"/>
              </w:rPr>
            </w:pPr>
            <w:r w:rsidRPr="00E96905">
              <w:rPr>
                <w:rFonts w:eastAsiaTheme="minorEastAsia"/>
                <w:color w:val="000000" w:themeColor="text1"/>
                <w:sz w:val="17"/>
                <w:szCs w:val="17"/>
                <w:lang w:val="en-US" w:eastAsia="zh-CN"/>
              </w:rPr>
              <w:tab/>
              <w:t>1.</w:t>
            </w:r>
            <w:r w:rsidRPr="00E96905">
              <w:rPr>
                <w:rFonts w:eastAsiaTheme="minorEastAsia"/>
                <w:color w:val="000000" w:themeColor="text1"/>
                <w:sz w:val="17"/>
                <w:szCs w:val="17"/>
                <w:lang w:val="en-US" w:eastAsia="zh-CN"/>
              </w:rPr>
              <w:tab/>
              <w:t>Reduced spatial inequality and poverty in communities across the urban-rural continuum</w:t>
            </w:r>
            <w:r w:rsidRPr="00E96905">
              <w:rPr>
                <w:rFonts w:eastAsia="Times New Roman"/>
                <w:color w:val="000000" w:themeColor="text1"/>
                <w:spacing w:val="0"/>
                <w:w w:val="100"/>
                <w:kern w:val="0"/>
                <w:sz w:val="17"/>
                <w:szCs w:val="17"/>
                <w:lang w:val="en-US" w:eastAsia="zh-CN"/>
              </w:rPr>
              <w:t xml:space="preserve"> </w:t>
            </w:r>
          </w:p>
        </w:tc>
        <w:tc>
          <w:tcPr>
            <w:tcW w:w="466" w:type="pct"/>
            <w:shd w:val="clear" w:color="auto" w:fill="auto"/>
            <w:vAlign w:val="bottom"/>
          </w:tcPr>
          <w:p w14:paraId="15AF65A4"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2 928.</w:t>
            </w:r>
            <w:r w:rsidRPr="00E96905">
              <w:rPr>
                <w:rFonts w:eastAsia="Times New Roman"/>
                <w:color w:val="000000" w:themeColor="text1"/>
                <w:sz w:val="17"/>
                <w:szCs w:val="17"/>
                <w:lang w:val="en-US" w:eastAsia="zh-CN"/>
              </w:rPr>
              <w:t>4</w:t>
            </w:r>
          </w:p>
        </w:tc>
        <w:tc>
          <w:tcPr>
            <w:tcW w:w="508" w:type="pct"/>
            <w:shd w:val="clear" w:color="auto" w:fill="auto"/>
            <w:vAlign w:val="bottom"/>
          </w:tcPr>
          <w:p w14:paraId="04DB0B17"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2 248.5</w:t>
            </w:r>
          </w:p>
        </w:tc>
        <w:tc>
          <w:tcPr>
            <w:tcW w:w="462" w:type="pct"/>
            <w:shd w:val="clear" w:color="auto" w:fill="auto"/>
            <w:vAlign w:val="bottom"/>
          </w:tcPr>
          <w:p w14:paraId="624521E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429" w:type="pct"/>
            <w:shd w:val="clear" w:color="auto" w:fill="auto"/>
            <w:vAlign w:val="bottom"/>
          </w:tcPr>
          <w:p w14:paraId="1132B61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145.0</w:t>
            </w:r>
          </w:p>
        </w:tc>
        <w:tc>
          <w:tcPr>
            <w:tcW w:w="466" w:type="pct"/>
            <w:shd w:val="clear" w:color="auto" w:fill="auto"/>
            <w:vAlign w:val="bottom"/>
          </w:tcPr>
          <w:p w14:paraId="6180976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43.8</w:t>
            </w:r>
          </w:p>
        </w:tc>
        <w:tc>
          <w:tcPr>
            <w:tcW w:w="445" w:type="pct"/>
            <w:shd w:val="clear" w:color="auto" w:fill="auto"/>
            <w:vAlign w:val="bottom"/>
          </w:tcPr>
          <w:p w14:paraId="1D3C23DB"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188.8</w:t>
            </w:r>
          </w:p>
        </w:tc>
        <w:tc>
          <w:tcPr>
            <w:tcW w:w="435" w:type="pct"/>
            <w:shd w:val="clear" w:color="auto" w:fill="auto"/>
            <w:vAlign w:val="bottom"/>
          </w:tcPr>
          <w:p w14:paraId="27384434"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8.4</w:t>
            </w:r>
          </w:p>
        </w:tc>
        <w:tc>
          <w:tcPr>
            <w:tcW w:w="518" w:type="pct"/>
            <w:shd w:val="clear" w:color="auto" w:fill="auto"/>
            <w:vAlign w:val="bottom"/>
          </w:tcPr>
          <w:p w14:paraId="349D48D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2 437.3</w:t>
            </w:r>
          </w:p>
        </w:tc>
      </w:tr>
      <w:tr w:rsidR="003F2E7C" w:rsidRPr="00E96905" w14:paraId="4722EF02" w14:textId="77777777" w:rsidTr="00206464">
        <w:trPr>
          <w:trHeight w:val="20"/>
        </w:trPr>
        <w:tc>
          <w:tcPr>
            <w:tcW w:w="1271" w:type="pct"/>
            <w:shd w:val="clear" w:color="auto" w:fill="auto"/>
            <w:vAlign w:val="center"/>
          </w:tcPr>
          <w:p w14:paraId="581695E0" w14:textId="77777777" w:rsidR="003F2E7C" w:rsidRPr="00E96905" w:rsidRDefault="003F2E7C" w:rsidP="00206464">
            <w:pPr>
              <w:tabs>
                <w:tab w:val="left" w:pos="288"/>
                <w:tab w:val="left" w:pos="576"/>
                <w:tab w:val="left" w:pos="864"/>
                <w:tab w:val="left" w:pos="1152"/>
              </w:tabs>
              <w:spacing w:before="40" w:after="40" w:line="210" w:lineRule="exact"/>
              <w:ind w:left="576" w:right="43" w:hanging="576"/>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lastRenderedPageBreak/>
              <w:tab/>
              <w:t>2.</w:t>
            </w:r>
            <w:r w:rsidRPr="00E96905">
              <w:rPr>
                <w:rFonts w:eastAsia="Times New Roman"/>
                <w:color w:val="000000" w:themeColor="text1"/>
                <w:spacing w:val="0"/>
                <w:w w:val="100"/>
                <w:kern w:val="0"/>
                <w:sz w:val="17"/>
                <w:szCs w:val="17"/>
                <w:lang w:val="en-US" w:eastAsia="zh-CN"/>
              </w:rPr>
              <w:tab/>
              <w:t xml:space="preserve">Enhanced shared prosperity of cities and regions </w:t>
            </w:r>
          </w:p>
        </w:tc>
        <w:tc>
          <w:tcPr>
            <w:tcW w:w="466" w:type="pct"/>
            <w:shd w:val="clear" w:color="auto" w:fill="auto"/>
            <w:vAlign w:val="bottom"/>
          </w:tcPr>
          <w:p w14:paraId="7580A44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1 707.8</w:t>
            </w:r>
          </w:p>
        </w:tc>
        <w:tc>
          <w:tcPr>
            <w:tcW w:w="508" w:type="pct"/>
            <w:shd w:val="clear" w:color="auto" w:fill="auto"/>
            <w:vAlign w:val="bottom"/>
          </w:tcPr>
          <w:p w14:paraId="632AA22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2 622.3</w:t>
            </w:r>
          </w:p>
        </w:tc>
        <w:tc>
          <w:tcPr>
            <w:tcW w:w="462" w:type="pct"/>
            <w:shd w:val="clear" w:color="auto" w:fill="auto"/>
            <w:vAlign w:val="bottom"/>
          </w:tcPr>
          <w:p w14:paraId="759B060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98.1</w:t>
            </w:r>
          </w:p>
        </w:tc>
        <w:tc>
          <w:tcPr>
            <w:tcW w:w="429" w:type="pct"/>
            <w:shd w:val="clear" w:color="auto" w:fill="auto"/>
            <w:vAlign w:val="bottom"/>
          </w:tcPr>
          <w:p w14:paraId="574361A2"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151.4</w:t>
            </w:r>
          </w:p>
        </w:tc>
        <w:tc>
          <w:tcPr>
            <w:tcW w:w="466" w:type="pct"/>
            <w:shd w:val="clear" w:color="auto" w:fill="auto"/>
            <w:vAlign w:val="bottom"/>
          </w:tcPr>
          <w:p w14:paraId="4F05601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(173.4)</w:t>
            </w:r>
          </w:p>
        </w:tc>
        <w:tc>
          <w:tcPr>
            <w:tcW w:w="445" w:type="pct"/>
            <w:shd w:val="clear" w:color="auto" w:fill="auto"/>
            <w:vAlign w:val="bottom"/>
          </w:tcPr>
          <w:p w14:paraId="1C441CD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76.1</w:t>
            </w:r>
          </w:p>
        </w:tc>
        <w:tc>
          <w:tcPr>
            <w:tcW w:w="435" w:type="pct"/>
            <w:shd w:val="clear" w:color="auto" w:fill="auto"/>
            <w:vAlign w:val="bottom"/>
          </w:tcPr>
          <w:p w14:paraId="7C13065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2.9</w:t>
            </w:r>
          </w:p>
        </w:tc>
        <w:tc>
          <w:tcPr>
            <w:tcW w:w="518" w:type="pct"/>
            <w:shd w:val="clear" w:color="auto" w:fill="auto"/>
            <w:vAlign w:val="bottom"/>
          </w:tcPr>
          <w:p w14:paraId="00E75E8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2 698.4</w:t>
            </w:r>
          </w:p>
        </w:tc>
      </w:tr>
      <w:tr w:rsidR="003F2E7C" w:rsidRPr="00E96905" w14:paraId="3977215D" w14:textId="77777777" w:rsidTr="00206464">
        <w:trPr>
          <w:trHeight w:val="20"/>
        </w:trPr>
        <w:tc>
          <w:tcPr>
            <w:tcW w:w="1271" w:type="pct"/>
            <w:shd w:val="clear" w:color="auto" w:fill="auto"/>
            <w:vAlign w:val="center"/>
          </w:tcPr>
          <w:p w14:paraId="22380AE1" w14:textId="77777777" w:rsidR="003F2E7C" w:rsidRPr="00E96905" w:rsidRDefault="003F2E7C" w:rsidP="00206464">
            <w:pPr>
              <w:tabs>
                <w:tab w:val="left" w:pos="288"/>
                <w:tab w:val="left" w:pos="576"/>
                <w:tab w:val="left" w:pos="864"/>
                <w:tab w:val="left" w:pos="1152"/>
              </w:tabs>
              <w:spacing w:before="40" w:after="40" w:line="210" w:lineRule="exact"/>
              <w:ind w:left="576" w:right="43" w:hanging="576"/>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ab/>
              <w:t>3.</w:t>
            </w:r>
            <w:r w:rsidRPr="00E96905">
              <w:rPr>
                <w:rFonts w:eastAsia="Times New Roman"/>
                <w:color w:val="000000" w:themeColor="text1"/>
                <w:spacing w:val="0"/>
                <w:w w:val="100"/>
                <w:kern w:val="0"/>
                <w:sz w:val="17"/>
                <w:szCs w:val="17"/>
                <w:lang w:val="en-US" w:eastAsia="zh-CN"/>
              </w:rPr>
              <w:tab/>
              <w:t xml:space="preserve">Strengthened climate action and improved urban environment </w:t>
            </w:r>
          </w:p>
        </w:tc>
        <w:tc>
          <w:tcPr>
            <w:tcW w:w="466" w:type="pct"/>
            <w:shd w:val="clear" w:color="auto" w:fill="auto"/>
            <w:vAlign w:val="bottom"/>
          </w:tcPr>
          <w:p w14:paraId="5B060EF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2 327.7</w:t>
            </w:r>
          </w:p>
        </w:tc>
        <w:tc>
          <w:tcPr>
            <w:tcW w:w="508" w:type="pct"/>
            <w:shd w:val="clear" w:color="auto" w:fill="auto"/>
            <w:vAlign w:val="bottom"/>
          </w:tcPr>
          <w:p w14:paraId="1277E5AE"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2 349.2</w:t>
            </w:r>
          </w:p>
        </w:tc>
        <w:tc>
          <w:tcPr>
            <w:tcW w:w="462" w:type="pct"/>
            <w:shd w:val="clear" w:color="auto" w:fill="auto"/>
            <w:vAlign w:val="bottom"/>
          </w:tcPr>
          <w:p w14:paraId="1CB30B8C"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98.1</w:t>
            </w:r>
          </w:p>
        </w:tc>
        <w:tc>
          <w:tcPr>
            <w:tcW w:w="429" w:type="pct"/>
            <w:shd w:val="clear" w:color="auto" w:fill="auto"/>
            <w:vAlign w:val="bottom"/>
          </w:tcPr>
          <w:p w14:paraId="1BCEAA57"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150.5</w:t>
            </w:r>
          </w:p>
        </w:tc>
        <w:tc>
          <w:tcPr>
            <w:tcW w:w="466" w:type="pct"/>
            <w:shd w:val="clear" w:color="auto" w:fill="auto"/>
            <w:vAlign w:val="bottom"/>
          </w:tcPr>
          <w:p w14:paraId="6269931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(173.1)</w:t>
            </w:r>
          </w:p>
        </w:tc>
        <w:tc>
          <w:tcPr>
            <w:tcW w:w="445" w:type="pct"/>
            <w:shd w:val="clear" w:color="auto" w:fill="auto"/>
            <w:vAlign w:val="bottom"/>
          </w:tcPr>
          <w:p w14:paraId="073C97C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75.5</w:t>
            </w:r>
          </w:p>
        </w:tc>
        <w:tc>
          <w:tcPr>
            <w:tcW w:w="435" w:type="pct"/>
            <w:shd w:val="clear" w:color="auto" w:fill="auto"/>
            <w:vAlign w:val="bottom"/>
          </w:tcPr>
          <w:p w14:paraId="3A97462B"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3.2</w:t>
            </w:r>
          </w:p>
        </w:tc>
        <w:tc>
          <w:tcPr>
            <w:tcW w:w="518" w:type="pct"/>
            <w:shd w:val="clear" w:color="auto" w:fill="auto"/>
            <w:vAlign w:val="bottom"/>
          </w:tcPr>
          <w:p w14:paraId="586BC52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2 424.7</w:t>
            </w:r>
          </w:p>
        </w:tc>
      </w:tr>
      <w:tr w:rsidR="003F2E7C" w:rsidRPr="00E96905" w14:paraId="1FEA686C" w14:textId="77777777" w:rsidTr="00206464">
        <w:trPr>
          <w:trHeight w:val="20"/>
        </w:trPr>
        <w:tc>
          <w:tcPr>
            <w:tcW w:w="1271" w:type="pct"/>
            <w:tcBorders>
              <w:bottom w:val="single" w:sz="4" w:space="0" w:color="auto"/>
            </w:tcBorders>
            <w:shd w:val="clear" w:color="auto" w:fill="auto"/>
            <w:vAlign w:val="center"/>
          </w:tcPr>
          <w:p w14:paraId="2A47CF78" w14:textId="77777777" w:rsidR="003F2E7C" w:rsidRPr="00E96905" w:rsidRDefault="003F2E7C" w:rsidP="00206464">
            <w:pPr>
              <w:tabs>
                <w:tab w:val="left" w:pos="288"/>
                <w:tab w:val="left" w:pos="576"/>
                <w:tab w:val="left" w:pos="864"/>
                <w:tab w:val="left" w:pos="1152"/>
              </w:tabs>
              <w:spacing w:before="40" w:after="81" w:line="210" w:lineRule="exact"/>
              <w:ind w:left="576" w:right="43" w:hanging="576"/>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ab/>
              <w:t>4.</w:t>
            </w:r>
            <w:r w:rsidRPr="00E96905">
              <w:rPr>
                <w:rFonts w:eastAsia="Times New Roman"/>
                <w:color w:val="000000" w:themeColor="text1"/>
                <w:spacing w:val="0"/>
                <w:w w:val="100"/>
                <w:kern w:val="0"/>
                <w:sz w:val="17"/>
                <w:szCs w:val="17"/>
                <w:lang w:val="en-US" w:eastAsia="zh-CN"/>
              </w:rPr>
              <w:tab/>
              <w:t xml:space="preserve">Effective urban crisis prevention and response </w:t>
            </w:r>
          </w:p>
        </w:tc>
        <w:tc>
          <w:tcPr>
            <w:tcW w:w="466" w:type="pct"/>
            <w:tcBorders>
              <w:bottom w:val="single" w:sz="4" w:space="0" w:color="auto"/>
            </w:tcBorders>
            <w:shd w:val="clear" w:color="auto" w:fill="auto"/>
            <w:vAlign w:val="bottom"/>
          </w:tcPr>
          <w:p w14:paraId="1FEEEA8A"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1 664.3</w:t>
            </w:r>
          </w:p>
        </w:tc>
        <w:tc>
          <w:tcPr>
            <w:tcW w:w="508" w:type="pct"/>
            <w:tcBorders>
              <w:bottom w:val="single" w:sz="4" w:space="0" w:color="auto"/>
            </w:tcBorders>
            <w:shd w:val="clear" w:color="auto" w:fill="auto"/>
            <w:vAlign w:val="bottom"/>
          </w:tcPr>
          <w:p w14:paraId="2BA86F99"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1 922.8</w:t>
            </w:r>
          </w:p>
        </w:tc>
        <w:tc>
          <w:tcPr>
            <w:tcW w:w="462" w:type="pct"/>
            <w:tcBorders>
              <w:bottom w:val="single" w:sz="4" w:space="0" w:color="auto"/>
            </w:tcBorders>
            <w:shd w:val="clear" w:color="auto" w:fill="auto"/>
            <w:vAlign w:val="bottom"/>
          </w:tcPr>
          <w:p w14:paraId="77CE14A6"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429" w:type="pct"/>
            <w:tcBorders>
              <w:bottom w:val="single" w:sz="4" w:space="0" w:color="auto"/>
            </w:tcBorders>
            <w:shd w:val="clear" w:color="auto" w:fill="auto"/>
            <w:vAlign w:val="bottom"/>
          </w:tcPr>
          <w:p w14:paraId="37FB1CDD"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150.1</w:t>
            </w:r>
          </w:p>
        </w:tc>
        <w:tc>
          <w:tcPr>
            <w:tcW w:w="466" w:type="pct"/>
            <w:tcBorders>
              <w:bottom w:val="single" w:sz="4" w:space="0" w:color="auto"/>
            </w:tcBorders>
            <w:shd w:val="clear" w:color="auto" w:fill="auto"/>
            <w:vAlign w:val="bottom"/>
          </w:tcPr>
          <w:p w14:paraId="378F2E2A"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427.8</w:t>
            </w:r>
          </w:p>
        </w:tc>
        <w:tc>
          <w:tcPr>
            <w:tcW w:w="445" w:type="pct"/>
            <w:tcBorders>
              <w:bottom w:val="single" w:sz="4" w:space="0" w:color="auto"/>
            </w:tcBorders>
            <w:shd w:val="clear" w:color="auto" w:fill="auto"/>
            <w:vAlign w:val="bottom"/>
          </w:tcPr>
          <w:p w14:paraId="0AEADFF9"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577.9</w:t>
            </w:r>
          </w:p>
        </w:tc>
        <w:tc>
          <w:tcPr>
            <w:tcW w:w="435" w:type="pct"/>
            <w:tcBorders>
              <w:bottom w:val="single" w:sz="4" w:space="0" w:color="auto"/>
            </w:tcBorders>
            <w:shd w:val="clear" w:color="auto" w:fill="auto"/>
            <w:vAlign w:val="bottom"/>
          </w:tcPr>
          <w:p w14:paraId="6F9EF758"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30.1</w:t>
            </w:r>
          </w:p>
        </w:tc>
        <w:tc>
          <w:tcPr>
            <w:tcW w:w="518" w:type="pct"/>
            <w:tcBorders>
              <w:bottom w:val="single" w:sz="4" w:space="0" w:color="auto"/>
            </w:tcBorders>
            <w:shd w:val="clear" w:color="auto" w:fill="auto"/>
            <w:vAlign w:val="bottom"/>
          </w:tcPr>
          <w:p w14:paraId="4083EB65" w14:textId="77777777" w:rsidR="003F2E7C" w:rsidRPr="00E96905" w:rsidRDefault="003F2E7C" w:rsidP="00206464">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2 500.7</w:t>
            </w:r>
          </w:p>
        </w:tc>
      </w:tr>
      <w:tr w:rsidR="003F2E7C" w:rsidRPr="00E96905" w14:paraId="160927C1" w14:textId="77777777" w:rsidTr="00206464">
        <w:trPr>
          <w:trHeight w:val="20"/>
        </w:trPr>
        <w:tc>
          <w:tcPr>
            <w:tcW w:w="1271" w:type="pct"/>
            <w:tcBorders>
              <w:top w:val="single" w:sz="4" w:space="0" w:color="auto"/>
              <w:bottom w:val="single" w:sz="4" w:space="0" w:color="auto"/>
            </w:tcBorders>
            <w:shd w:val="clear" w:color="auto" w:fill="auto"/>
            <w:vAlign w:val="bottom"/>
            <w:hideMark/>
          </w:tcPr>
          <w:p w14:paraId="7EB4ABD5"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spacing w:val="0"/>
                <w:w w:val="100"/>
                <w:kern w:val="0"/>
                <w:sz w:val="17"/>
                <w:szCs w:val="17"/>
                <w:lang w:val="en-US" w:eastAsia="zh-CN"/>
              </w:rPr>
            </w:pPr>
            <w:r w:rsidRPr="00E96905">
              <w:rPr>
                <w:rFonts w:eastAsia="Times New Roman"/>
                <w:b/>
                <w:bCs/>
                <w:color w:val="000000"/>
                <w:spacing w:val="0"/>
                <w:w w:val="100"/>
                <w:kern w:val="0"/>
                <w:sz w:val="17"/>
                <w:szCs w:val="17"/>
                <w:lang w:val="en-US" w:eastAsia="zh-CN"/>
              </w:rPr>
              <w:tab/>
              <w:t>Subtotal, C</w:t>
            </w:r>
          </w:p>
        </w:tc>
        <w:tc>
          <w:tcPr>
            <w:tcW w:w="466" w:type="pct"/>
            <w:tcBorders>
              <w:top w:val="single" w:sz="4" w:space="0" w:color="auto"/>
              <w:bottom w:val="single" w:sz="4" w:space="0" w:color="auto"/>
            </w:tcBorders>
            <w:shd w:val="clear" w:color="auto" w:fill="auto"/>
            <w:vAlign w:val="center"/>
          </w:tcPr>
          <w:p w14:paraId="7430F7D9"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8 628.</w:t>
            </w:r>
            <w:r w:rsidRPr="00E96905">
              <w:rPr>
                <w:rFonts w:eastAsia="Times New Roman"/>
                <w:b/>
                <w:bCs/>
                <w:color w:val="000000" w:themeColor="text1"/>
                <w:sz w:val="17"/>
                <w:szCs w:val="17"/>
                <w:lang w:val="en-US" w:eastAsia="zh-CN"/>
              </w:rPr>
              <w:t>2</w:t>
            </w:r>
          </w:p>
        </w:tc>
        <w:tc>
          <w:tcPr>
            <w:tcW w:w="508" w:type="pct"/>
            <w:tcBorders>
              <w:top w:val="single" w:sz="4" w:space="0" w:color="auto"/>
              <w:bottom w:val="single" w:sz="4" w:space="0" w:color="auto"/>
            </w:tcBorders>
            <w:shd w:val="clear" w:color="auto" w:fill="auto"/>
            <w:vAlign w:val="center"/>
          </w:tcPr>
          <w:p w14:paraId="15A12836"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9 142.8</w:t>
            </w:r>
          </w:p>
        </w:tc>
        <w:tc>
          <w:tcPr>
            <w:tcW w:w="462" w:type="pct"/>
            <w:tcBorders>
              <w:top w:val="single" w:sz="4" w:space="0" w:color="auto"/>
              <w:bottom w:val="single" w:sz="4" w:space="0" w:color="auto"/>
            </w:tcBorders>
            <w:shd w:val="clear" w:color="auto" w:fill="auto"/>
            <w:vAlign w:val="center"/>
          </w:tcPr>
          <w:p w14:paraId="62905424"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196.2</w:t>
            </w:r>
          </w:p>
        </w:tc>
        <w:tc>
          <w:tcPr>
            <w:tcW w:w="429" w:type="pct"/>
            <w:tcBorders>
              <w:top w:val="single" w:sz="4" w:space="0" w:color="auto"/>
              <w:bottom w:val="single" w:sz="4" w:space="0" w:color="auto"/>
            </w:tcBorders>
            <w:shd w:val="clear" w:color="auto" w:fill="auto"/>
            <w:vAlign w:val="center"/>
          </w:tcPr>
          <w:p w14:paraId="55F8CF94"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597.0</w:t>
            </w:r>
          </w:p>
        </w:tc>
        <w:tc>
          <w:tcPr>
            <w:tcW w:w="466" w:type="pct"/>
            <w:tcBorders>
              <w:top w:val="single" w:sz="4" w:space="0" w:color="auto"/>
              <w:bottom w:val="single" w:sz="4" w:space="0" w:color="auto"/>
            </w:tcBorders>
            <w:shd w:val="clear" w:color="auto" w:fill="auto"/>
            <w:vAlign w:val="center"/>
          </w:tcPr>
          <w:p w14:paraId="45404D30"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125.1</w:t>
            </w:r>
          </w:p>
        </w:tc>
        <w:tc>
          <w:tcPr>
            <w:tcW w:w="445" w:type="pct"/>
            <w:tcBorders>
              <w:top w:val="single" w:sz="4" w:space="0" w:color="auto"/>
              <w:bottom w:val="single" w:sz="4" w:space="0" w:color="auto"/>
            </w:tcBorders>
            <w:shd w:val="clear" w:color="auto" w:fill="auto"/>
            <w:vAlign w:val="center"/>
          </w:tcPr>
          <w:p w14:paraId="4EDDFDE8"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918.3</w:t>
            </w:r>
          </w:p>
        </w:tc>
        <w:tc>
          <w:tcPr>
            <w:tcW w:w="435" w:type="pct"/>
            <w:tcBorders>
              <w:top w:val="single" w:sz="4" w:space="0" w:color="auto"/>
              <w:bottom w:val="single" w:sz="4" w:space="0" w:color="auto"/>
            </w:tcBorders>
            <w:shd w:val="clear" w:color="auto" w:fill="auto"/>
            <w:vAlign w:val="center"/>
          </w:tcPr>
          <w:p w14:paraId="35629475"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10.0</w:t>
            </w:r>
          </w:p>
        </w:tc>
        <w:tc>
          <w:tcPr>
            <w:tcW w:w="518" w:type="pct"/>
            <w:tcBorders>
              <w:top w:val="single" w:sz="4" w:space="0" w:color="auto"/>
              <w:bottom w:val="single" w:sz="4" w:space="0" w:color="auto"/>
            </w:tcBorders>
            <w:shd w:val="clear" w:color="auto" w:fill="auto"/>
            <w:vAlign w:val="center"/>
          </w:tcPr>
          <w:p w14:paraId="21E62AEA"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10 061.1</w:t>
            </w:r>
          </w:p>
        </w:tc>
      </w:tr>
      <w:tr w:rsidR="003F2E7C" w:rsidRPr="00E96905" w14:paraId="43DD8AB7" w14:textId="77777777" w:rsidTr="00206464">
        <w:trPr>
          <w:trHeight w:val="20"/>
        </w:trPr>
        <w:tc>
          <w:tcPr>
            <w:tcW w:w="1271" w:type="pct"/>
            <w:tcBorders>
              <w:top w:val="single" w:sz="4" w:space="0" w:color="auto"/>
              <w:bottom w:val="single" w:sz="4" w:space="0" w:color="auto"/>
            </w:tcBorders>
            <w:shd w:val="clear" w:color="auto" w:fill="auto"/>
            <w:vAlign w:val="bottom"/>
            <w:hideMark/>
          </w:tcPr>
          <w:p w14:paraId="7846DB4B"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color w:val="000000"/>
                <w:spacing w:val="0"/>
                <w:w w:val="100"/>
                <w:kern w:val="0"/>
                <w:sz w:val="17"/>
                <w:szCs w:val="17"/>
                <w:lang w:val="en-US" w:eastAsia="zh-CN"/>
              </w:rPr>
            </w:pPr>
            <w:r>
              <w:rPr>
                <w:rFonts w:eastAsia="Times New Roman"/>
                <w:color w:val="000000"/>
                <w:spacing w:val="0"/>
                <w:w w:val="100"/>
                <w:kern w:val="0"/>
                <w:sz w:val="17"/>
                <w:szCs w:val="17"/>
                <w:lang w:val="en-US" w:eastAsia="zh-CN"/>
              </w:rPr>
              <w:t>D</w:t>
            </w:r>
            <w:r w:rsidRPr="00E96905">
              <w:rPr>
                <w:rFonts w:eastAsia="Times New Roman"/>
                <w:color w:val="000000"/>
                <w:spacing w:val="0"/>
                <w:w w:val="100"/>
                <w:kern w:val="0"/>
                <w:sz w:val="17"/>
                <w:szCs w:val="17"/>
                <w:lang w:val="en-US" w:eastAsia="zh-CN"/>
              </w:rPr>
              <w:t>.</w:t>
            </w:r>
            <w:r w:rsidRPr="00E96905">
              <w:rPr>
                <w:rFonts w:eastAsia="Times New Roman"/>
                <w:color w:val="000000"/>
                <w:spacing w:val="0"/>
                <w:w w:val="100"/>
                <w:kern w:val="0"/>
                <w:sz w:val="17"/>
                <w:szCs w:val="17"/>
                <w:lang w:val="en-US" w:eastAsia="zh-CN"/>
              </w:rPr>
              <w:tab/>
              <w:t>Programme support</w:t>
            </w:r>
          </w:p>
        </w:tc>
        <w:tc>
          <w:tcPr>
            <w:tcW w:w="466" w:type="pct"/>
            <w:tcBorders>
              <w:top w:val="single" w:sz="4" w:space="0" w:color="auto"/>
              <w:bottom w:val="single" w:sz="4" w:space="0" w:color="auto"/>
            </w:tcBorders>
            <w:shd w:val="clear" w:color="auto" w:fill="auto"/>
            <w:vAlign w:val="center"/>
          </w:tcPr>
          <w:p w14:paraId="5157D7B0"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1 392.6</w:t>
            </w:r>
          </w:p>
        </w:tc>
        <w:tc>
          <w:tcPr>
            <w:tcW w:w="508" w:type="pct"/>
            <w:tcBorders>
              <w:top w:val="single" w:sz="4" w:space="0" w:color="auto"/>
              <w:bottom w:val="single" w:sz="4" w:space="0" w:color="auto"/>
            </w:tcBorders>
            <w:shd w:val="clear" w:color="auto" w:fill="auto"/>
            <w:vAlign w:val="center"/>
          </w:tcPr>
          <w:p w14:paraId="31FA5620"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1 122.0</w:t>
            </w:r>
          </w:p>
        </w:tc>
        <w:tc>
          <w:tcPr>
            <w:tcW w:w="462" w:type="pct"/>
            <w:tcBorders>
              <w:top w:val="single" w:sz="4" w:space="0" w:color="auto"/>
              <w:bottom w:val="single" w:sz="4" w:space="0" w:color="auto"/>
            </w:tcBorders>
            <w:shd w:val="clear" w:color="auto" w:fill="auto"/>
            <w:vAlign w:val="center"/>
          </w:tcPr>
          <w:p w14:paraId="6BC6E5A2"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429" w:type="pct"/>
            <w:tcBorders>
              <w:top w:val="single" w:sz="4" w:space="0" w:color="auto"/>
              <w:bottom w:val="single" w:sz="4" w:space="0" w:color="auto"/>
            </w:tcBorders>
            <w:shd w:val="clear" w:color="auto" w:fill="auto"/>
            <w:vAlign w:val="center"/>
          </w:tcPr>
          <w:p w14:paraId="48647A27"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466" w:type="pct"/>
            <w:tcBorders>
              <w:top w:val="single" w:sz="4" w:space="0" w:color="auto"/>
              <w:bottom w:val="single" w:sz="4" w:space="0" w:color="auto"/>
            </w:tcBorders>
            <w:shd w:val="clear" w:color="auto" w:fill="auto"/>
            <w:vAlign w:val="center"/>
          </w:tcPr>
          <w:p w14:paraId="51AEFF36"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445" w:type="pct"/>
            <w:tcBorders>
              <w:top w:val="single" w:sz="4" w:space="0" w:color="auto"/>
              <w:bottom w:val="single" w:sz="4" w:space="0" w:color="auto"/>
            </w:tcBorders>
            <w:shd w:val="clear" w:color="auto" w:fill="auto"/>
            <w:vAlign w:val="center"/>
          </w:tcPr>
          <w:p w14:paraId="41819AAD"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435" w:type="pct"/>
            <w:tcBorders>
              <w:top w:val="single" w:sz="4" w:space="0" w:color="auto"/>
              <w:bottom w:val="single" w:sz="4" w:space="0" w:color="auto"/>
            </w:tcBorders>
            <w:shd w:val="clear" w:color="auto" w:fill="auto"/>
            <w:vAlign w:val="center"/>
          </w:tcPr>
          <w:p w14:paraId="2417B372"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w:t>
            </w:r>
          </w:p>
        </w:tc>
        <w:tc>
          <w:tcPr>
            <w:tcW w:w="518" w:type="pct"/>
            <w:tcBorders>
              <w:top w:val="single" w:sz="4" w:space="0" w:color="auto"/>
              <w:bottom w:val="single" w:sz="4" w:space="0" w:color="auto"/>
            </w:tcBorders>
            <w:shd w:val="clear" w:color="auto" w:fill="auto"/>
            <w:vAlign w:val="center"/>
          </w:tcPr>
          <w:p w14:paraId="3C4BD2AA"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1 122.0</w:t>
            </w:r>
          </w:p>
        </w:tc>
      </w:tr>
      <w:tr w:rsidR="003F2E7C" w:rsidRPr="00E96905" w14:paraId="6C255854" w14:textId="77777777" w:rsidTr="00206464">
        <w:trPr>
          <w:trHeight w:val="20"/>
        </w:trPr>
        <w:tc>
          <w:tcPr>
            <w:tcW w:w="1271" w:type="pct"/>
            <w:tcBorders>
              <w:top w:val="single" w:sz="4" w:space="0" w:color="auto"/>
              <w:bottom w:val="single" w:sz="12" w:space="0" w:color="auto"/>
            </w:tcBorders>
            <w:shd w:val="clear" w:color="auto" w:fill="auto"/>
            <w:vAlign w:val="bottom"/>
            <w:hideMark/>
          </w:tcPr>
          <w:p w14:paraId="251F68D9"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spacing w:val="0"/>
                <w:w w:val="100"/>
                <w:kern w:val="0"/>
                <w:sz w:val="17"/>
                <w:szCs w:val="17"/>
                <w:lang w:val="en-US" w:eastAsia="zh-CN"/>
              </w:rPr>
            </w:pPr>
            <w:r w:rsidRPr="00E96905">
              <w:rPr>
                <w:rFonts w:eastAsia="Times New Roman"/>
                <w:b/>
                <w:bCs/>
                <w:color w:val="000000"/>
                <w:spacing w:val="0"/>
                <w:w w:val="100"/>
                <w:kern w:val="0"/>
                <w:sz w:val="17"/>
                <w:szCs w:val="17"/>
                <w:lang w:val="en-US" w:eastAsia="zh-CN"/>
              </w:rPr>
              <w:tab/>
              <w:t>Subtotal, 1</w:t>
            </w:r>
          </w:p>
        </w:tc>
        <w:tc>
          <w:tcPr>
            <w:tcW w:w="466" w:type="pct"/>
            <w:tcBorders>
              <w:top w:val="single" w:sz="4" w:space="0" w:color="auto"/>
              <w:bottom w:val="single" w:sz="12" w:space="0" w:color="auto"/>
            </w:tcBorders>
            <w:shd w:val="clear" w:color="auto" w:fill="auto"/>
            <w:vAlign w:val="center"/>
          </w:tcPr>
          <w:p w14:paraId="4106028E"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12 167.3</w:t>
            </w:r>
          </w:p>
        </w:tc>
        <w:tc>
          <w:tcPr>
            <w:tcW w:w="508" w:type="pct"/>
            <w:tcBorders>
              <w:top w:val="single" w:sz="4" w:space="0" w:color="auto"/>
              <w:bottom w:val="single" w:sz="12" w:space="0" w:color="auto"/>
            </w:tcBorders>
            <w:shd w:val="clear" w:color="auto" w:fill="auto"/>
            <w:vAlign w:val="center"/>
          </w:tcPr>
          <w:p w14:paraId="1E9CE47E"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12 495.8</w:t>
            </w:r>
          </w:p>
        </w:tc>
        <w:tc>
          <w:tcPr>
            <w:tcW w:w="462" w:type="pct"/>
            <w:tcBorders>
              <w:top w:val="single" w:sz="4" w:space="0" w:color="auto"/>
              <w:bottom w:val="single" w:sz="12" w:space="0" w:color="auto"/>
            </w:tcBorders>
            <w:shd w:val="clear" w:color="auto" w:fill="auto"/>
            <w:vAlign w:val="center"/>
          </w:tcPr>
          <w:p w14:paraId="03F686A0"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196.2</w:t>
            </w:r>
          </w:p>
        </w:tc>
        <w:tc>
          <w:tcPr>
            <w:tcW w:w="429" w:type="pct"/>
            <w:tcBorders>
              <w:top w:val="single" w:sz="4" w:space="0" w:color="auto"/>
              <w:bottom w:val="single" w:sz="12" w:space="0" w:color="auto"/>
            </w:tcBorders>
            <w:shd w:val="clear" w:color="auto" w:fill="auto"/>
            <w:vAlign w:val="center"/>
          </w:tcPr>
          <w:p w14:paraId="23975B3A"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597.0</w:t>
            </w:r>
          </w:p>
        </w:tc>
        <w:tc>
          <w:tcPr>
            <w:tcW w:w="466" w:type="pct"/>
            <w:tcBorders>
              <w:top w:val="single" w:sz="4" w:space="0" w:color="auto"/>
              <w:bottom w:val="single" w:sz="12" w:space="0" w:color="auto"/>
            </w:tcBorders>
            <w:shd w:val="clear" w:color="auto" w:fill="auto"/>
            <w:vAlign w:val="center"/>
          </w:tcPr>
          <w:p w14:paraId="00939545"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w:t>
            </w:r>
          </w:p>
        </w:tc>
        <w:tc>
          <w:tcPr>
            <w:tcW w:w="445" w:type="pct"/>
            <w:tcBorders>
              <w:top w:val="single" w:sz="4" w:space="0" w:color="auto"/>
              <w:bottom w:val="single" w:sz="12" w:space="0" w:color="auto"/>
            </w:tcBorders>
            <w:shd w:val="clear" w:color="auto" w:fill="auto"/>
            <w:vAlign w:val="center"/>
          </w:tcPr>
          <w:p w14:paraId="38D21956"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793.2</w:t>
            </w:r>
          </w:p>
        </w:tc>
        <w:tc>
          <w:tcPr>
            <w:tcW w:w="435" w:type="pct"/>
            <w:tcBorders>
              <w:top w:val="single" w:sz="4" w:space="0" w:color="auto"/>
              <w:bottom w:val="single" w:sz="12" w:space="0" w:color="auto"/>
            </w:tcBorders>
            <w:shd w:val="clear" w:color="auto" w:fill="auto"/>
            <w:vAlign w:val="center"/>
          </w:tcPr>
          <w:p w14:paraId="6F22C498"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6.3</w:t>
            </w:r>
          </w:p>
        </w:tc>
        <w:tc>
          <w:tcPr>
            <w:tcW w:w="518" w:type="pct"/>
            <w:tcBorders>
              <w:top w:val="single" w:sz="4" w:space="0" w:color="auto"/>
              <w:bottom w:val="single" w:sz="12" w:space="0" w:color="auto"/>
            </w:tcBorders>
            <w:shd w:val="clear" w:color="auto" w:fill="auto"/>
            <w:vAlign w:val="center"/>
          </w:tcPr>
          <w:p w14:paraId="23DCE40C"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13 289.0</w:t>
            </w:r>
          </w:p>
        </w:tc>
      </w:tr>
    </w:tbl>
    <w:p w14:paraId="6FBA82A7" w14:textId="77777777" w:rsidR="003F2E7C" w:rsidRPr="00E96905" w:rsidRDefault="003F2E7C" w:rsidP="003F2E7C">
      <w:pPr>
        <w:pStyle w:val="SingleTxt"/>
        <w:spacing w:after="0" w:line="120" w:lineRule="exact"/>
        <w:rPr>
          <w:sz w:val="10"/>
        </w:rPr>
      </w:pPr>
    </w:p>
    <w:p w14:paraId="61332F7C" w14:textId="77777777" w:rsidR="003F2E7C" w:rsidRPr="00E96905" w:rsidRDefault="003F2E7C" w:rsidP="003F2E7C">
      <w:pPr>
        <w:pStyle w:val="SingleTxt"/>
        <w:spacing w:after="0" w:line="120" w:lineRule="exact"/>
        <w:rPr>
          <w:sz w:val="10"/>
        </w:rPr>
      </w:pPr>
    </w:p>
    <w:p w14:paraId="03B19AC4" w14:textId="77777777" w:rsidR="003F2E7C" w:rsidRPr="00E96905" w:rsidRDefault="003F2E7C" w:rsidP="003F2E7C">
      <w:pPr>
        <w:pStyle w:val="H4"/>
        <w:ind w:right="1260"/>
      </w:pPr>
      <w:r w:rsidRPr="00E96905">
        <w:tab/>
      </w:r>
      <w:r w:rsidRPr="00E96905">
        <w:rPr>
          <w:i w:val="0"/>
          <w:iCs/>
        </w:rPr>
        <w:t>(2)</w:t>
      </w:r>
      <w:r w:rsidRPr="00E96905">
        <w:t xml:space="preserve"> </w:t>
      </w:r>
      <w:r w:rsidRPr="00E96905">
        <w:tab/>
        <w:t xml:space="preserve">Extrabudgetary </w:t>
      </w:r>
    </w:p>
    <w:p w14:paraId="4F8B0833" w14:textId="77777777" w:rsidR="003F2E7C" w:rsidRPr="00E96905" w:rsidRDefault="003F2E7C" w:rsidP="003F2E7C">
      <w:pPr>
        <w:pStyle w:val="SingleTxt"/>
        <w:spacing w:after="0" w:line="120" w:lineRule="exact"/>
        <w:rPr>
          <w:sz w:val="10"/>
        </w:rPr>
      </w:pPr>
    </w:p>
    <w:p w14:paraId="23C672CE" w14:textId="77777777" w:rsidR="003F2E7C" w:rsidRPr="00E96905" w:rsidRDefault="003F2E7C" w:rsidP="003F2E7C">
      <w:pPr>
        <w:pStyle w:val="SingleTxt"/>
        <w:spacing w:after="0" w:line="120" w:lineRule="exact"/>
        <w:rPr>
          <w:sz w:val="10"/>
        </w:rPr>
      </w:pPr>
    </w:p>
    <w:tbl>
      <w:tblPr>
        <w:tblW w:w="9828" w:type="dxa"/>
        <w:tblLayout w:type="fixed"/>
        <w:tblCellMar>
          <w:left w:w="0" w:type="dxa"/>
          <w:right w:w="0" w:type="dxa"/>
        </w:tblCellMar>
        <w:tblLook w:val="04A0" w:firstRow="1" w:lastRow="0" w:firstColumn="1" w:lastColumn="0" w:noHBand="0" w:noVBand="1"/>
      </w:tblPr>
      <w:tblGrid>
        <w:gridCol w:w="2502"/>
        <w:gridCol w:w="927"/>
        <w:gridCol w:w="990"/>
        <w:gridCol w:w="963"/>
        <w:gridCol w:w="783"/>
        <w:gridCol w:w="936"/>
        <w:gridCol w:w="855"/>
        <w:gridCol w:w="864"/>
        <w:gridCol w:w="1008"/>
      </w:tblGrid>
      <w:tr w:rsidR="003F2E7C" w:rsidRPr="00E96905" w14:paraId="5277B3C2" w14:textId="77777777" w:rsidTr="002D4D92">
        <w:trPr>
          <w:trHeight w:val="107"/>
          <w:tblHeader/>
        </w:trPr>
        <w:tc>
          <w:tcPr>
            <w:tcW w:w="2502" w:type="dxa"/>
            <w:tcBorders>
              <w:top w:val="single" w:sz="4" w:space="0" w:color="auto"/>
              <w:bottom w:val="single" w:sz="12" w:space="0" w:color="auto"/>
            </w:tcBorders>
            <w:shd w:val="clear" w:color="auto" w:fill="auto"/>
            <w:noWrap/>
            <w:vAlign w:val="bottom"/>
            <w:hideMark/>
          </w:tcPr>
          <w:p w14:paraId="0F2F205B" w14:textId="77777777" w:rsidR="003F2E7C" w:rsidRPr="00E96905" w:rsidRDefault="003F2E7C" w:rsidP="00206464">
            <w:pPr>
              <w:spacing w:before="81" w:after="81" w:line="160" w:lineRule="exact"/>
              <w:ind w:right="40"/>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Component/subprogramme</w:t>
            </w:r>
          </w:p>
        </w:tc>
        <w:tc>
          <w:tcPr>
            <w:tcW w:w="927" w:type="dxa"/>
            <w:tcBorders>
              <w:top w:val="single" w:sz="4" w:space="0" w:color="auto"/>
              <w:bottom w:val="single" w:sz="12" w:space="0" w:color="auto"/>
            </w:tcBorders>
            <w:shd w:val="clear" w:color="auto" w:fill="auto"/>
            <w:vAlign w:val="bottom"/>
            <w:hideMark/>
          </w:tcPr>
          <w:p w14:paraId="1DF8FC88" w14:textId="5F57FF54" w:rsidR="003F2E7C" w:rsidRPr="00E96905" w:rsidRDefault="003F2E7C" w:rsidP="00206464">
            <w:pPr>
              <w:spacing w:before="81" w:after="81" w:line="160" w:lineRule="exact"/>
              <w:ind w:left="144" w:right="43"/>
              <w:jc w:val="right"/>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2020</w:t>
            </w:r>
            <w:r w:rsidR="002D4D92">
              <w:rPr>
                <w:rFonts w:eastAsia="Times New Roman"/>
                <w:i/>
                <w:iCs/>
                <w:color w:val="000000" w:themeColor="text1"/>
                <w:spacing w:val="0"/>
                <w:w w:val="100"/>
                <w:kern w:val="0"/>
                <w:sz w:val="14"/>
                <w:szCs w:val="17"/>
                <w:lang w:val="en-US" w:eastAsia="zh-CN"/>
              </w:rPr>
              <w:t xml:space="preserve"> </w:t>
            </w:r>
            <w:r w:rsidRPr="00E96905">
              <w:rPr>
                <w:rFonts w:eastAsia="Times New Roman"/>
                <w:i/>
                <w:iCs/>
                <w:color w:val="000000" w:themeColor="text1"/>
                <w:spacing w:val="0"/>
                <w:w w:val="100"/>
                <w:kern w:val="0"/>
                <w:sz w:val="14"/>
                <w:szCs w:val="17"/>
                <w:lang w:val="en-US" w:eastAsia="zh-CN"/>
              </w:rPr>
              <w:t>expenditure</w:t>
            </w:r>
          </w:p>
        </w:tc>
        <w:tc>
          <w:tcPr>
            <w:tcW w:w="990" w:type="dxa"/>
            <w:tcBorders>
              <w:top w:val="single" w:sz="4" w:space="0" w:color="auto"/>
              <w:bottom w:val="single" w:sz="12" w:space="0" w:color="auto"/>
            </w:tcBorders>
            <w:shd w:val="clear" w:color="auto" w:fill="auto"/>
            <w:vAlign w:val="bottom"/>
            <w:hideMark/>
          </w:tcPr>
          <w:p w14:paraId="5C9FDE3D" w14:textId="77777777" w:rsidR="002D4D92" w:rsidRDefault="003F2E7C" w:rsidP="002D4D92">
            <w:pPr>
              <w:spacing w:before="81" w:line="160" w:lineRule="exact"/>
              <w:ind w:left="126" w:right="43"/>
              <w:jc w:val="right"/>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 xml:space="preserve">2021 </w:t>
            </w:r>
          </w:p>
          <w:p w14:paraId="73FCAD18" w14:textId="635F5DD7" w:rsidR="003F2E7C" w:rsidRPr="00E96905" w:rsidRDefault="003F2E7C" w:rsidP="002D4D92">
            <w:pPr>
              <w:spacing w:after="81" w:line="160" w:lineRule="exact"/>
              <w:ind w:left="126" w:right="43"/>
              <w:jc w:val="right"/>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estimate</w:t>
            </w:r>
          </w:p>
        </w:tc>
        <w:tc>
          <w:tcPr>
            <w:tcW w:w="963" w:type="dxa"/>
            <w:tcBorders>
              <w:top w:val="single" w:sz="4" w:space="0" w:color="auto"/>
              <w:bottom w:val="single" w:sz="12" w:space="0" w:color="auto"/>
            </w:tcBorders>
            <w:shd w:val="clear" w:color="auto" w:fill="auto"/>
            <w:vAlign w:val="bottom"/>
          </w:tcPr>
          <w:p w14:paraId="3F895AB2" w14:textId="77777777" w:rsidR="003F2E7C" w:rsidRPr="00E96905" w:rsidRDefault="003F2E7C" w:rsidP="00206464">
            <w:pPr>
              <w:spacing w:before="81" w:after="81" w:line="160" w:lineRule="exact"/>
              <w:ind w:left="144" w:right="43"/>
              <w:jc w:val="right"/>
              <w:rPr>
                <w:rFonts w:eastAsia="Times New Roman"/>
                <w:i/>
                <w:iCs/>
                <w:color w:val="000000" w:themeColor="text1"/>
                <w:spacing w:val="0"/>
                <w:w w:val="100"/>
                <w:kern w:val="0"/>
                <w:sz w:val="14"/>
                <w:szCs w:val="17"/>
                <w:lang w:val="en-US" w:eastAsia="zh-CN"/>
              </w:rPr>
            </w:pPr>
          </w:p>
        </w:tc>
        <w:tc>
          <w:tcPr>
            <w:tcW w:w="783" w:type="dxa"/>
            <w:tcBorders>
              <w:top w:val="single" w:sz="4" w:space="0" w:color="auto"/>
              <w:bottom w:val="single" w:sz="12" w:space="0" w:color="auto"/>
            </w:tcBorders>
            <w:shd w:val="clear" w:color="auto" w:fill="auto"/>
            <w:vAlign w:val="bottom"/>
          </w:tcPr>
          <w:p w14:paraId="13692493" w14:textId="77777777" w:rsidR="003F2E7C" w:rsidRPr="00E96905" w:rsidRDefault="003F2E7C" w:rsidP="00206464">
            <w:pPr>
              <w:spacing w:before="81" w:after="81" w:line="160" w:lineRule="exact"/>
              <w:ind w:left="144" w:right="43"/>
              <w:jc w:val="right"/>
              <w:rPr>
                <w:rFonts w:eastAsia="Times New Roman"/>
                <w:i/>
                <w:iCs/>
                <w:color w:val="000000" w:themeColor="text1"/>
                <w:spacing w:val="0"/>
                <w:w w:val="100"/>
                <w:kern w:val="0"/>
                <w:sz w:val="14"/>
                <w:szCs w:val="17"/>
                <w:lang w:val="en-US" w:eastAsia="zh-CN"/>
              </w:rPr>
            </w:pPr>
          </w:p>
        </w:tc>
        <w:tc>
          <w:tcPr>
            <w:tcW w:w="936" w:type="dxa"/>
            <w:tcBorders>
              <w:top w:val="single" w:sz="4" w:space="0" w:color="auto"/>
              <w:bottom w:val="single" w:sz="12" w:space="0" w:color="auto"/>
            </w:tcBorders>
            <w:shd w:val="clear" w:color="auto" w:fill="auto"/>
            <w:vAlign w:val="bottom"/>
          </w:tcPr>
          <w:p w14:paraId="43ACE0F0" w14:textId="77777777" w:rsidR="003F2E7C" w:rsidRPr="00E96905" w:rsidRDefault="003F2E7C" w:rsidP="00206464">
            <w:pPr>
              <w:spacing w:before="81" w:after="81" w:line="160" w:lineRule="exact"/>
              <w:ind w:left="144" w:right="43"/>
              <w:jc w:val="right"/>
              <w:rPr>
                <w:rFonts w:eastAsia="Times New Roman"/>
                <w:i/>
                <w:iCs/>
                <w:color w:val="000000" w:themeColor="text1"/>
                <w:spacing w:val="0"/>
                <w:w w:val="100"/>
                <w:kern w:val="0"/>
                <w:sz w:val="14"/>
                <w:szCs w:val="17"/>
                <w:lang w:val="en-US" w:eastAsia="zh-CN"/>
              </w:rPr>
            </w:pPr>
          </w:p>
        </w:tc>
        <w:tc>
          <w:tcPr>
            <w:tcW w:w="855" w:type="dxa"/>
            <w:tcBorders>
              <w:top w:val="single" w:sz="4" w:space="0" w:color="auto"/>
              <w:bottom w:val="single" w:sz="12" w:space="0" w:color="auto"/>
            </w:tcBorders>
            <w:shd w:val="clear" w:color="auto" w:fill="auto"/>
            <w:vAlign w:val="bottom"/>
            <w:hideMark/>
          </w:tcPr>
          <w:p w14:paraId="5A3E203E" w14:textId="77777777" w:rsidR="003F2E7C" w:rsidRPr="00E96905" w:rsidRDefault="003F2E7C" w:rsidP="00206464">
            <w:pPr>
              <w:spacing w:before="81" w:after="81" w:line="160" w:lineRule="exact"/>
              <w:ind w:left="144" w:right="43"/>
              <w:jc w:val="right"/>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Change</w:t>
            </w:r>
          </w:p>
        </w:tc>
        <w:tc>
          <w:tcPr>
            <w:tcW w:w="864" w:type="dxa"/>
            <w:tcBorders>
              <w:top w:val="single" w:sz="4" w:space="0" w:color="auto"/>
              <w:bottom w:val="single" w:sz="12" w:space="0" w:color="auto"/>
            </w:tcBorders>
            <w:shd w:val="clear" w:color="auto" w:fill="auto"/>
            <w:vAlign w:val="bottom"/>
            <w:hideMark/>
          </w:tcPr>
          <w:p w14:paraId="54778EDC" w14:textId="77777777" w:rsidR="003F2E7C" w:rsidRPr="00E96905" w:rsidRDefault="003F2E7C" w:rsidP="00206464">
            <w:pPr>
              <w:spacing w:before="81" w:after="81" w:line="160" w:lineRule="exact"/>
              <w:ind w:left="144" w:right="43"/>
              <w:jc w:val="right"/>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Percentage</w:t>
            </w:r>
          </w:p>
        </w:tc>
        <w:tc>
          <w:tcPr>
            <w:tcW w:w="1008" w:type="dxa"/>
            <w:tcBorders>
              <w:top w:val="single" w:sz="4" w:space="0" w:color="auto"/>
              <w:bottom w:val="single" w:sz="12" w:space="0" w:color="auto"/>
            </w:tcBorders>
            <w:shd w:val="clear" w:color="auto" w:fill="auto"/>
            <w:vAlign w:val="bottom"/>
            <w:hideMark/>
          </w:tcPr>
          <w:p w14:paraId="1CA45213" w14:textId="77777777" w:rsidR="002D4D92" w:rsidRDefault="003F2E7C" w:rsidP="002D4D92">
            <w:pPr>
              <w:spacing w:before="81" w:line="160" w:lineRule="exact"/>
              <w:ind w:left="144" w:right="43"/>
              <w:jc w:val="right"/>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2022</w:t>
            </w:r>
            <w:r w:rsidR="002D4D92">
              <w:rPr>
                <w:rFonts w:eastAsia="Times New Roman"/>
                <w:i/>
                <w:iCs/>
                <w:color w:val="000000" w:themeColor="text1"/>
                <w:spacing w:val="0"/>
                <w:w w:val="100"/>
                <w:kern w:val="0"/>
                <w:sz w:val="14"/>
                <w:szCs w:val="17"/>
                <w:lang w:val="en-US" w:eastAsia="zh-CN"/>
              </w:rPr>
              <w:t xml:space="preserve"> </w:t>
            </w:r>
          </w:p>
          <w:p w14:paraId="09B07B52" w14:textId="7C1DC1E4" w:rsidR="003F2E7C" w:rsidRPr="00E96905" w:rsidRDefault="003F2E7C" w:rsidP="002D4D92">
            <w:pPr>
              <w:spacing w:after="81" w:line="160" w:lineRule="exact"/>
              <w:ind w:left="144" w:right="43"/>
              <w:jc w:val="right"/>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estimate</w:t>
            </w:r>
          </w:p>
        </w:tc>
      </w:tr>
      <w:tr w:rsidR="003F2E7C" w:rsidRPr="00E96905" w14:paraId="7CAC4357" w14:textId="77777777" w:rsidTr="00206464">
        <w:trPr>
          <w:trHeight w:hRule="exact" w:val="115"/>
          <w:tblHeader/>
        </w:trPr>
        <w:tc>
          <w:tcPr>
            <w:tcW w:w="2502" w:type="dxa"/>
            <w:tcBorders>
              <w:top w:val="single" w:sz="12" w:space="0" w:color="auto"/>
            </w:tcBorders>
            <w:shd w:val="clear" w:color="auto" w:fill="auto"/>
            <w:vAlign w:val="bottom"/>
          </w:tcPr>
          <w:p w14:paraId="5537F171" w14:textId="77777777" w:rsidR="003F2E7C" w:rsidRPr="00E96905" w:rsidRDefault="003F2E7C" w:rsidP="00206464">
            <w:pPr>
              <w:spacing w:before="40" w:after="40" w:line="210" w:lineRule="exact"/>
              <w:ind w:right="40"/>
              <w:rPr>
                <w:rFonts w:eastAsia="Times New Roman"/>
                <w:color w:val="000000" w:themeColor="text1"/>
                <w:spacing w:val="0"/>
                <w:w w:val="100"/>
                <w:kern w:val="0"/>
                <w:sz w:val="17"/>
                <w:szCs w:val="17"/>
                <w:lang w:val="en-US" w:eastAsia="zh-CN"/>
              </w:rPr>
            </w:pPr>
          </w:p>
        </w:tc>
        <w:tc>
          <w:tcPr>
            <w:tcW w:w="927" w:type="dxa"/>
            <w:tcBorders>
              <w:top w:val="single" w:sz="12" w:space="0" w:color="auto"/>
            </w:tcBorders>
            <w:shd w:val="clear" w:color="auto" w:fill="auto"/>
            <w:vAlign w:val="bottom"/>
          </w:tcPr>
          <w:p w14:paraId="5E365F54"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90" w:type="dxa"/>
            <w:tcBorders>
              <w:top w:val="single" w:sz="12" w:space="0" w:color="auto"/>
            </w:tcBorders>
            <w:shd w:val="clear" w:color="auto" w:fill="auto"/>
            <w:vAlign w:val="bottom"/>
          </w:tcPr>
          <w:p w14:paraId="66F40D34"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63" w:type="dxa"/>
            <w:tcBorders>
              <w:top w:val="single" w:sz="12" w:space="0" w:color="auto"/>
            </w:tcBorders>
            <w:shd w:val="clear" w:color="auto" w:fill="auto"/>
            <w:vAlign w:val="bottom"/>
          </w:tcPr>
          <w:p w14:paraId="3BAB6F1D"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783" w:type="dxa"/>
            <w:tcBorders>
              <w:top w:val="single" w:sz="12" w:space="0" w:color="auto"/>
            </w:tcBorders>
            <w:shd w:val="clear" w:color="auto" w:fill="auto"/>
            <w:vAlign w:val="bottom"/>
          </w:tcPr>
          <w:p w14:paraId="3AD2829A"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36" w:type="dxa"/>
            <w:tcBorders>
              <w:top w:val="single" w:sz="12" w:space="0" w:color="auto"/>
            </w:tcBorders>
            <w:shd w:val="clear" w:color="auto" w:fill="auto"/>
            <w:vAlign w:val="bottom"/>
          </w:tcPr>
          <w:p w14:paraId="38E92A55"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855" w:type="dxa"/>
            <w:tcBorders>
              <w:top w:val="single" w:sz="12" w:space="0" w:color="auto"/>
            </w:tcBorders>
            <w:shd w:val="clear" w:color="auto" w:fill="auto"/>
            <w:vAlign w:val="bottom"/>
          </w:tcPr>
          <w:p w14:paraId="6409D74B"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864" w:type="dxa"/>
            <w:tcBorders>
              <w:top w:val="single" w:sz="12" w:space="0" w:color="auto"/>
            </w:tcBorders>
            <w:shd w:val="clear" w:color="auto" w:fill="auto"/>
            <w:vAlign w:val="bottom"/>
          </w:tcPr>
          <w:p w14:paraId="68953EF8"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008" w:type="dxa"/>
            <w:tcBorders>
              <w:top w:val="single" w:sz="12" w:space="0" w:color="auto"/>
            </w:tcBorders>
            <w:shd w:val="clear" w:color="auto" w:fill="auto"/>
            <w:vAlign w:val="bottom"/>
          </w:tcPr>
          <w:p w14:paraId="409DB16C"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r>
      <w:tr w:rsidR="003F2E7C" w:rsidRPr="00E96905" w14:paraId="48396318" w14:textId="77777777" w:rsidTr="00206464">
        <w:trPr>
          <w:trHeight w:val="285"/>
        </w:trPr>
        <w:tc>
          <w:tcPr>
            <w:tcW w:w="2502" w:type="dxa"/>
            <w:shd w:val="clear" w:color="auto" w:fill="auto"/>
            <w:vAlign w:val="bottom"/>
            <w:hideMark/>
          </w:tcPr>
          <w:p w14:paraId="77A048E7"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A.</w:t>
            </w:r>
            <w:r w:rsidRPr="00E96905">
              <w:rPr>
                <w:rFonts w:eastAsia="Times New Roman"/>
                <w:color w:val="000000" w:themeColor="text1"/>
                <w:spacing w:val="0"/>
                <w:w w:val="100"/>
                <w:kern w:val="0"/>
                <w:sz w:val="17"/>
                <w:szCs w:val="17"/>
                <w:lang w:val="en-US" w:eastAsia="zh-CN"/>
              </w:rPr>
              <w:tab/>
              <w:t xml:space="preserve">Policymaking organs </w:t>
            </w:r>
          </w:p>
        </w:tc>
        <w:tc>
          <w:tcPr>
            <w:tcW w:w="927" w:type="dxa"/>
            <w:shd w:val="clear" w:color="auto" w:fill="auto"/>
            <w:vAlign w:val="bottom"/>
            <w:hideMark/>
          </w:tcPr>
          <w:p w14:paraId="5B19C02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1 457.9 </w:t>
            </w:r>
          </w:p>
        </w:tc>
        <w:tc>
          <w:tcPr>
            <w:tcW w:w="990" w:type="dxa"/>
            <w:shd w:val="clear" w:color="auto" w:fill="auto"/>
            <w:vAlign w:val="bottom"/>
            <w:hideMark/>
          </w:tcPr>
          <w:p w14:paraId="05EC6F5C"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1 504.2</w:t>
            </w:r>
          </w:p>
        </w:tc>
        <w:tc>
          <w:tcPr>
            <w:tcW w:w="963" w:type="dxa"/>
            <w:shd w:val="clear" w:color="auto" w:fill="auto"/>
            <w:vAlign w:val="bottom"/>
          </w:tcPr>
          <w:p w14:paraId="5A78C6D4"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783" w:type="dxa"/>
            <w:shd w:val="clear" w:color="auto" w:fill="auto"/>
            <w:vAlign w:val="bottom"/>
          </w:tcPr>
          <w:p w14:paraId="6670ABDF"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36" w:type="dxa"/>
            <w:shd w:val="clear" w:color="auto" w:fill="auto"/>
            <w:vAlign w:val="bottom"/>
          </w:tcPr>
          <w:p w14:paraId="0B7E89B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855" w:type="dxa"/>
            <w:shd w:val="clear" w:color="auto" w:fill="auto"/>
            <w:vAlign w:val="bottom"/>
            <w:hideMark/>
          </w:tcPr>
          <w:p w14:paraId="1075129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(601.5)</w:t>
            </w:r>
          </w:p>
        </w:tc>
        <w:tc>
          <w:tcPr>
            <w:tcW w:w="864" w:type="dxa"/>
            <w:shd w:val="clear" w:color="auto" w:fill="auto"/>
            <w:vAlign w:val="bottom"/>
            <w:hideMark/>
          </w:tcPr>
          <w:p w14:paraId="7655C7D2"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(40.0)</w:t>
            </w:r>
          </w:p>
        </w:tc>
        <w:tc>
          <w:tcPr>
            <w:tcW w:w="1008" w:type="dxa"/>
            <w:shd w:val="clear" w:color="auto" w:fill="auto"/>
            <w:vAlign w:val="bottom"/>
            <w:hideMark/>
          </w:tcPr>
          <w:p w14:paraId="53DFB54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902.7</w:t>
            </w:r>
          </w:p>
        </w:tc>
      </w:tr>
      <w:tr w:rsidR="003F2E7C" w:rsidRPr="00E96905" w14:paraId="7706E111" w14:textId="77777777" w:rsidTr="00206464">
        <w:trPr>
          <w:trHeight w:val="285"/>
        </w:trPr>
        <w:tc>
          <w:tcPr>
            <w:tcW w:w="2502" w:type="dxa"/>
            <w:shd w:val="clear" w:color="auto" w:fill="auto"/>
            <w:vAlign w:val="bottom"/>
            <w:hideMark/>
          </w:tcPr>
          <w:p w14:paraId="5C9B5972" w14:textId="77777777" w:rsidR="003F2E7C" w:rsidRPr="00E96905" w:rsidRDefault="003F2E7C" w:rsidP="00206464">
            <w:pPr>
              <w:tabs>
                <w:tab w:val="left" w:pos="288"/>
                <w:tab w:val="left" w:pos="576"/>
                <w:tab w:val="left" w:pos="864"/>
                <w:tab w:val="left" w:pos="1152"/>
              </w:tabs>
              <w:spacing w:before="40" w:after="40" w:line="210" w:lineRule="exact"/>
              <w:ind w:left="288" w:right="40" w:hanging="288"/>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B.</w:t>
            </w:r>
            <w:r w:rsidRPr="00E96905">
              <w:rPr>
                <w:rFonts w:eastAsia="Times New Roman"/>
                <w:color w:val="000000" w:themeColor="text1"/>
                <w:spacing w:val="0"/>
                <w:w w:val="100"/>
                <w:kern w:val="0"/>
                <w:sz w:val="17"/>
                <w:szCs w:val="17"/>
                <w:lang w:val="en-US" w:eastAsia="zh-CN"/>
              </w:rPr>
              <w:tab/>
              <w:t xml:space="preserve">Executive direction and management </w:t>
            </w:r>
          </w:p>
        </w:tc>
        <w:tc>
          <w:tcPr>
            <w:tcW w:w="927" w:type="dxa"/>
            <w:shd w:val="clear" w:color="auto" w:fill="auto"/>
            <w:vAlign w:val="bottom"/>
            <w:hideMark/>
          </w:tcPr>
          <w:p w14:paraId="4EC3606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6 515.9</w:t>
            </w:r>
          </w:p>
        </w:tc>
        <w:tc>
          <w:tcPr>
            <w:tcW w:w="990" w:type="dxa"/>
            <w:shd w:val="clear" w:color="auto" w:fill="auto"/>
            <w:vAlign w:val="bottom"/>
            <w:hideMark/>
          </w:tcPr>
          <w:p w14:paraId="385712A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3 523.5</w:t>
            </w:r>
          </w:p>
        </w:tc>
        <w:tc>
          <w:tcPr>
            <w:tcW w:w="963" w:type="dxa"/>
            <w:shd w:val="clear" w:color="auto" w:fill="auto"/>
            <w:vAlign w:val="bottom"/>
          </w:tcPr>
          <w:p w14:paraId="7F73A7CB"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783" w:type="dxa"/>
            <w:shd w:val="clear" w:color="auto" w:fill="auto"/>
            <w:vAlign w:val="bottom"/>
          </w:tcPr>
          <w:p w14:paraId="12F9251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36" w:type="dxa"/>
            <w:shd w:val="clear" w:color="auto" w:fill="auto"/>
            <w:vAlign w:val="bottom"/>
          </w:tcPr>
          <w:p w14:paraId="7B11818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855" w:type="dxa"/>
            <w:shd w:val="clear" w:color="auto" w:fill="auto"/>
            <w:vAlign w:val="bottom"/>
            <w:hideMark/>
          </w:tcPr>
          <w:p w14:paraId="69A2260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2 020.1 </w:t>
            </w:r>
          </w:p>
        </w:tc>
        <w:tc>
          <w:tcPr>
            <w:tcW w:w="864" w:type="dxa"/>
            <w:shd w:val="clear" w:color="auto" w:fill="auto"/>
            <w:vAlign w:val="bottom"/>
            <w:hideMark/>
          </w:tcPr>
          <w:p w14:paraId="0C98BCD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57.3</w:t>
            </w:r>
          </w:p>
        </w:tc>
        <w:tc>
          <w:tcPr>
            <w:tcW w:w="1008" w:type="dxa"/>
            <w:shd w:val="clear" w:color="auto" w:fill="auto"/>
            <w:vAlign w:val="bottom"/>
            <w:hideMark/>
          </w:tcPr>
          <w:p w14:paraId="5A90909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5 543.6</w:t>
            </w:r>
          </w:p>
        </w:tc>
      </w:tr>
      <w:tr w:rsidR="003F2E7C" w:rsidRPr="00E96905" w14:paraId="00EC959B" w14:textId="77777777" w:rsidTr="00206464">
        <w:trPr>
          <w:trHeight w:val="285"/>
        </w:trPr>
        <w:tc>
          <w:tcPr>
            <w:tcW w:w="2502" w:type="dxa"/>
            <w:shd w:val="clear" w:color="auto" w:fill="auto"/>
            <w:vAlign w:val="bottom"/>
            <w:hideMark/>
          </w:tcPr>
          <w:p w14:paraId="5DF53393"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C.</w:t>
            </w:r>
            <w:r w:rsidRPr="00E96905">
              <w:rPr>
                <w:rFonts w:eastAsia="Times New Roman"/>
                <w:color w:val="000000" w:themeColor="text1"/>
                <w:spacing w:val="0"/>
                <w:w w:val="100"/>
                <w:kern w:val="0"/>
                <w:sz w:val="17"/>
                <w:szCs w:val="17"/>
                <w:lang w:val="en-US" w:eastAsia="zh-CN"/>
              </w:rPr>
              <w:tab/>
              <w:t xml:space="preserve">Programme of work </w:t>
            </w:r>
          </w:p>
        </w:tc>
        <w:tc>
          <w:tcPr>
            <w:tcW w:w="927" w:type="dxa"/>
            <w:shd w:val="clear" w:color="auto" w:fill="auto"/>
            <w:vAlign w:val="bottom"/>
            <w:hideMark/>
          </w:tcPr>
          <w:p w14:paraId="22C8658C"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w:t>
            </w:r>
          </w:p>
        </w:tc>
        <w:tc>
          <w:tcPr>
            <w:tcW w:w="990" w:type="dxa"/>
            <w:shd w:val="clear" w:color="auto" w:fill="auto"/>
            <w:vAlign w:val="bottom"/>
            <w:hideMark/>
          </w:tcPr>
          <w:p w14:paraId="7CEC68D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63" w:type="dxa"/>
            <w:shd w:val="clear" w:color="auto" w:fill="auto"/>
            <w:vAlign w:val="bottom"/>
          </w:tcPr>
          <w:p w14:paraId="147F477E"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783" w:type="dxa"/>
            <w:shd w:val="clear" w:color="auto" w:fill="auto"/>
            <w:vAlign w:val="bottom"/>
          </w:tcPr>
          <w:p w14:paraId="71E66D95"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36" w:type="dxa"/>
            <w:shd w:val="clear" w:color="auto" w:fill="auto"/>
            <w:vAlign w:val="bottom"/>
          </w:tcPr>
          <w:p w14:paraId="3006F1E7"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855" w:type="dxa"/>
            <w:shd w:val="clear" w:color="auto" w:fill="auto"/>
            <w:vAlign w:val="bottom"/>
            <w:hideMark/>
          </w:tcPr>
          <w:p w14:paraId="157AFFAA"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w:t>
            </w:r>
          </w:p>
        </w:tc>
        <w:tc>
          <w:tcPr>
            <w:tcW w:w="864" w:type="dxa"/>
            <w:shd w:val="clear" w:color="auto" w:fill="auto"/>
            <w:vAlign w:val="bottom"/>
            <w:hideMark/>
          </w:tcPr>
          <w:p w14:paraId="2AAEE0F2"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w:t>
            </w:r>
          </w:p>
        </w:tc>
        <w:tc>
          <w:tcPr>
            <w:tcW w:w="1008" w:type="dxa"/>
            <w:shd w:val="clear" w:color="auto" w:fill="auto"/>
            <w:vAlign w:val="bottom"/>
            <w:hideMark/>
          </w:tcPr>
          <w:p w14:paraId="11F862A2"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r>
      <w:tr w:rsidR="003F2E7C" w:rsidRPr="00E96905" w14:paraId="0631562C" w14:textId="77777777" w:rsidTr="00206464">
        <w:trPr>
          <w:trHeight w:val="285"/>
        </w:trPr>
        <w:tc>
          <w:tcPr>
            <w:tcW w:w="2502" w:type="dxa"/>
            <w:shd w:val="clear" w:color="auto" w:fill="auto"/>
            <w:vAlign w:val="bottom"/>
          </w:tcPr>
          <w:p w14:paraId="0F3409FE" w14:textId="77777777" w:rsidR="003F2E7C" w:rsidRPr="00E96905" w:rsidRDefault="003F2E7C" w:rsidP="00206464">
            <w:pPr>
              <w:tabs>
                <w:tab w:val="left" w:pos="288"/>
                <w:tab w:val="left" w:pos="576"/>
                <w:tab w:val="left" w:pos="864"/>
                <w:tab w:val="left" w:pos="1152"/>
              </w:tabs>
              <w:spacing w:before="40" w:after="40" w:line="210" w:lineRule="exact"/>
              <w:ind w:left="576" w:right="40" w:hanging="576"/>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ab/>
              <w:t>1.</w:t>
            </w:r>
            <w:r w:rsidRPr="00E96905">
              <w:rPr>
                <w:rFonts w:eastAsia="Times New Roman"/>
                <w:color w:val="000000" w:themeColor="text1"/>
                <w:spacing w:val="0"/>
                <w:w w:val="100"/>
                <w:kern w:val="0"/>
                <w:sz w:val="17"/>
                <w:szCs w:val="17"/>
                <w:lang w:val="en-US" w:eastAsia="zh-CN"/>
              </w:rPr>
              <w:tab/>
              <w:t>Reduced spatial inequality and poverty in communities across the urban-rural continuum</w:t>
            </w:r>
            <w:r>
              <w:rPr>
                <w:rFonts w:eastAsia="Times New Roman"/>
                <w:color w:val="000000" w:themeColor="text1"/>
                <w:spacing w:val="0"/>
                <w:w w:val="100"/>
                <w:kern w:val="0"/>
                <w:sz w:val="17"/>
                <w:szCs w:val="17"/>
                <w:lang w:val="en-US" w:eastAsia="zh-CN"/>
              </w:rPr>
              <w:t xml:space="preserve"> </w:t>
            </w:r>
          </w:p>
        </w:tc>
        <w:tc>
          <w:tcPr>
            <w:tcW w:w="927" w:type="dxa"/>
            <w:shd w:val="clear" w:color="auto" w:fill="auto"/>
            <w:vAlign w:val="bottom"/>
          </w:tcPr>
          <w:p w14:paraId="5A700EF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32 594.4 </w:t>
            </w:r>
          </w:p>
        </w:tc>
        <w:tc>
          <w:tcPr>
            <w:tcW w:w="990" w:type="dxa"/>
            <w:shd w:val="clear" w:color="auto" w:fill="auto"/>
            <w:vAlign w:val="bottom"/>
          </w:tcPr>
          <w:p w14:paraId="17FB203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60 977.2 </w:t>
            </w:r>
          </w:p>
        </w:tc>
        <w:tc>
          <w:tcPr>
            <w:tcW w:w="963" w:type="dxa"/>
            <w:shd w:val="clear" w:color="auto" w:fill="auto"/>
            <w:vAlign w:val="bottom"/>
          </w:tcPr>
          <w:p w14:paraId="180EBCB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783" w:type="dxa"/>
            <w:shd w:val="clear" w:color="auto" w:fill="auto"/>
            <w:vAlign w:val="bottom"/>
          </w:tcPr>
          <w:p w14:paraId="086B565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36" w:type="dxa"/>
            <w:shd w:val="clear" w:color="auto" w:fill="auto"/>
            <w:vAlign w:val="bottom"/>
          </w:tcPr>
          <w:p w14:paraId="18DBD32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855" w:type="dxa"/>
            <w:shd w:val="clear" w:color="auto" w:fill="auto"/>
            <w:vAlign w:val="bottom"/>
          </w:tcPr>
          <w:p w14:paraId="44400B3B"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(584.5)</w:t>
            </w:r>
          </w:p>
        </w:tc>
        <w:tc>
          <w:tcPr>
            <w:tcW w:w="864" w:type="dxa"/>
            <w:shd w:val="clear" w:color="auto" w:fill="auto"/>
            <w:vAlign w:val="bottom"/>
          </w:tcPr>
          <w:p w14:paraId="67FBB9A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(1.0)</w:t>
            </w:r>
          </w:p>
        </w:tc>
        <w:tc>
          <w:tcPr>
            <w:tcW w:w="1008" w:type="dxa"/>
            <w:shd w:val="clear" w:color="auto" w:fill="auto"/>
            <w:vAlign w:val="bottom"/>
          </w:tcPr>
          <w:p w14:paraId="3F0D8EF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60 392.7 </w:t>
            </w:r>
          </w:p>
        </w:tc>
      </w:tr>
      <w:tr w:rsidR="003F2E7C" w:rsidRPr="00E96905" w14:paraId="04B8F754" w14:textId="77777777" w:rsidTr="00206464">
        <w:trPr>
          <w:trHeight w:val="285"/>
        </w:trPr>
        <w:tc>
          <w:tcPr>
            <w:tcW w:w="2502" w:type="dxa"/>
            <w:shd w:val="clear" w:color="auto" w:fill="auto"/>
            <w:vAlign w:val="bottom"/>
          </w:tcPr>
          <w:p w14:paraId="2DC38651" w14:textId="77777777" w:rsidR="003F2E7C" w:rsidRPr="00E96905" w:rsidRDefault="003F2E7C" w:rsidP="00206464">
            <w:pPr>
              <w:tabs>
                <w:tab w:val="left" w:pos="288"/>
                <w:tab w:val="left" w:pos="576"/>
                <w:tab w:val="left" w:pos="864"/>
                <w:tab w:val="left" w:pos="1152"/>
              </w:tabs>
              <w:spacing w:before="40" w:after="40" w:line="210" w:lineRule="exact"/>
              <w:ind w:left="576" w:right="40" w:hanging="576"/>
              <w:rPr>
                <w:rFonts w:eastAsia="Times New Roman"/>
                <w:color w:val="000000" w:themeColor="text1"/>
                <w:spacing w:val="0"/>
                <w:w w:val="100"/>
                <w:kern w:val="0"/>
                <w:sz w:val="17"/>
                <w:szCs w:val="17"/>
                <w:lang w:val="en-US" w:eastAsia="zh-CN"/>
              </w:rPr>
            </w:pPr>
            <w:r w:rsidRPr="00E96905">
              <w:rPr>
                <w:rFonts w:eastAsia="Times New Roman"/>
                <w:color w:val="000000" w:themeColor="text1"/>
                <w:sz w:val="17"/>
                <w:szCs w:val="17"/>
                <w:lang w:val="en-US" w:eastAsia="zh-CN"/>
              </w:rPr>
              <w:tab/>
              <w:t>2.</w:t>
            </w:r>
            <w:r w:rsidRPr="00E96905">
              <w:rPr>
                <w:rFonts w:eastAsia="Times New Roman"/>
                <w:color w:val="000000" w:themeColor="text1"/>
                <w:sz w:val="17"/>
                <w:szCs w:val="17"/>
                <w:lang w:val="en-US" w:eastAsia="zh-CN"/>
              </w:rPr>
              <w:tab/>
              <w:t xml:space="preserve">Enhanced shared prosperity of cities and regions </w:t>
            </w:r>
          </w:p>
        </w:tc>
        <w:tc>
          <w:tcPr>
            <w:tcW w:w="927" w:type="dxa"/>
            <w:shd w:val="clear" w:color="auto" w:fill="auto"/>
            <w:vAlign w:val="bottom"/>
          </w:tcPr>
          <w:p w14:paraId="41048AF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6 077.9</w:t>
            </w:r>
          </w:p>
        </w:tc>
        <w:tc>
          <w:tcPr>
            <w:tcW w:w="990" w:type="dxa"/>
            <w:shd w:val="clear" w:color="auto" w:fill="auto"/>
            <w:vAlign w:val="bottom"/>
          </w:tcPr>
          <w:p w14:paraId="6654391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46 531.3 </w:t>
            </w:r>
          </w:p>
        </w:tc>
        <w:tc>
          <w:tcPr>
            <w:tcW w:w="963" w:type="dxa"/>
            <w:shd w:val="clear" w:color="auto" w:fill="auto"/>
            <w:vAlign w:val="bottom"/>
          </w:tcPr>
          <w:p w14:paraId="481FF26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783" w:type="dxa"/>
            <w:shd w:val="clear" w:color="auto" w:fill="auto"/>
            <w:vAlign w:val="bottom"/>
          </w:tcPr>
          <w:p w14:paraId="0CA2AC8A"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36" w:type="dxa"/>
            <w:shd w:val="clear" w:color="auto" w:fill="auto"/>
            <w:vAlign w:val="bottom"/>
          </w:tcPr>
          <w:p w14:paraId="57C1E52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855" w:type="dxa"/>
            <w:shd w:val="clear" w:color="auto" w:fill="auto"/>
            <w:vAlign w:val="bottom"/>
          </w:tcPr>
          <w:p w14:paraId="4481CE4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(8 525.1)</w:t>
            </w:r>
          </w:p>
        </w:tc>
        <w:tc>
          <w:tcPr>
            <w:tcW w:w="864" w:type="dxa"/>
            <w:shd w:val="clear" w:color="auto" w:fill="auto"/>
            <w:vAlign w:val="bottom"/>
          </w:tcPr>
          <w:p w14:paraId="42D37F5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(18.3)</w:t>
            </w:r>
          </w:p>
        </w:tc>
        <w:tc>
          <w:tcPr>
            <w:tcW w:w="1008" w:type="dxa"/>
            <w:shd w:val="clear" w:color="auto" w:fill="auto"/>
            <w:vAlign w:val="bottom"/>
          </w:tcPr>
          <w:p w14:paraId="46C8142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38 006.2 </w:t>
            </w:r>
          </w:p>
        </w:tc>
      </w:tr>
      <w:tr w:rsidR="003F2E7C" w:rsidRPr="00E96905" w14:paraId="4420BDAC" w14:textId="77777777" w:rsidTr="00206464">
        <w:trPr>
          <w:trHeight w:val="285"/>
        </w:trPr>
        <w:tc>
          <w:tcPr>
            <w:tcW w:w="2502" w:type="dxa"/>
            <w:shd w:val="clear" w:color="auto" w:fill="auto"/>
            <w:vAlign w:val="bottom"/>
          </w:tcPr>
          <w:p w14:paraId="46F513FA" w14:textId="77777777" w:rsidR="003F2E7C" w:rsidRPr="00E96905" w:rsidRDefault="003F2E7C" w:rsidP="00206464">
            <w:pPr>
              <w:tabs>
                <w:tab w:val="left" w:pos="288"/>
                <w:tab w:val="left" w:pos="576"/>
                <w:tab w:val="left" w:pos="864"/>
                <w:tab w:val="left" w:pos="1152"/>
              </w:tabs>
              <w:spacing w:before="40" w:after="40" w:line="210" w:lineRule="exact"/>
              <w:ind w:left="576" w:right="40" w:hanging="576"/>
              <w:rPr>
                <w:rFonts w:eastAsia="Times New Roman"/>
                <w:color w:val="000000" w:themeColor="text1"/>
                <w:spacing w:val="0"/>
                <w:w w:val="100"/>
                <w:kern w:val="0"/>
                <w:sz w:val="17"/>
                <w:szCs w:val="17"/>
                <w:lang w:val="en-US" w:eastAsia="zh-CN"/>
              </w:rPr>
            </w:pPr>
            <w:r w:rsidRPr="00E96905">
              <w:rPr>
                <w:rFonts w:eastAsia="Times New Roman"/>
                <w:color w:val="000000" w:themeColor="text1"/>
                <w:sz w:val="17"/>
                <w:szCs w:val="17"/>
                <w:lang w:val="en-US" w:eastAsia="zh-CN"/>
              </w:rPr>
              <w:tab/>
              <w:t>3.</w:t>
            </w:r>
            <w:r w:rsidRPr="00E96905">
              <w:rPr>
                <w:rFonts w:eastAsia="Times New Roman"/>
                <w:color w:val="000000" w:themeColor="text1"/>
                <w:sz w:val="17"/>
                <w:szCs w:val="17"/>
                <w:lang w:val="en-US" w:eastAsia="zh-CN"/>
              </w:rPr>
              <w:tab/>
              <w:t xml:space="preserve">Strengthened climate action and improved urban environment </w:t>
            </w:r>
          </w:p>
        </w:tc>
        <w:tc>
          <w:tcPr>
            <w:tcW w:w="927" w:type="dxa"/>
            <w:shd w:val="clear" w:color="auto" w:fill="auto"/>
            <w:vAlign w:val="bottom"/>
          </w:tcPr>
          <w:p w14:paraId="430C3C15"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8 378.0</w:t>
            </w:r>
          </w:p>
        </w:tc>
        <w:tc>
          <w:tcPr>
            <w:tcW w:w="990" w:type="dxa"/>
            <w:shd w:val="clear" w:color="auto" w:fill="auto"/>
            <w:vAlign w:val="bottom"/>
          </w:tcPr>
          <w:p w14:paraId="4769B87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37 562.4 </w:t>
            </w:r>
          </w:p>
        </w:tc>
        <w:tc>
          <w:tcPr>
            <w:tcW w:w="963" w:type="dxa"/>
            <w:shd w:val="clear" w:color="auto" w:fill="auto"/>
            <w:vAlign w:val="bottom"/>
          </w:tcPr>
          <w:p w14:paraId="3DD56D1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783" w:type="dxa"/>
            <w:shd w:val="clear" w:color="auto" w:fill="auto"/>
            <w:vAlign w:val="bottom"/>
          </w:tcPr>
          <w:p w14:paraId="3FC7D5D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36" w:type="dxa"/>
            <w:shd w:val="clear" w:color="auto" w:fill="auto"/>
            <w:vAlign w:val="bottom"/>
          </w:tcPr>
          <w:p w14:paraId="70646170"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855" w:type="dxa"/>
            <w:shd w:val="clear" w:color="auto" w:fill="auto"/>
            <w:vAlign w:val="bottom"/>
          </w:tcPr>
          <w:p w14:paraId="55FB03F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31 961.9 </w:t>
            </w:r>
          </w:p>
        </w:tc>
        <w:tc>
          <w:tcPr>
            <w:tcW w:w="864" w:type="dxa"/>
            <w:shd w:val="clear" w:color="auto" w:fill="auto"/>
            <w:vAlign w:val="bottom"/>
          </w:tcPr>
          <w:p w14:paraId="19D310F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85.1 </w:t>
            </w:r>
          </w:p>
        </w:tc>
        <w:tc>
          <w:tcPr>
            <w:tcW w:w="1008" w:type="dxa"/>
            <w:shd w:val="clear" w:color="auto" w:fill="auto"/>
            <w:vAlign w:val="bottom"/>
          </w:tcPr>
          <w:p w14:paraId="513D9F9A"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69 524.3 </w:t>
            </w:r>
          </w:p>
        </w:tc>
      </w:tr>
      <w:tr w:rsidR="003F2E7C" w:rsidRPr="00E96905" w14:paraId="52B26555" w14:textId="77777777" w:rsidTr="00206464">
        <w:trPr>
          <w:trHeight w:val="285"/>
        </w:trPr>
        <w:tc>
          <w:tcPr>
            <w:tcW w:w="2502" w:type="dxa"/>
            <w:shd w:val="clear" w:color="auto" w:fill="auto"/>
            <w:vAlign w:val="bottom"/>
          </w:tcPr>
          <w:p w14:paraId="37194A73" w14:textId="77777777" w:rsidR="003F2E7C" w:rsidRPr="00E96905" w:rsidRDefault="003F2E7C" w:rsidP="00206464">
            <w:pPr>
              <w:tabs>
                <w:tab w:val="left" w:pos="288"/>
                <w:tab w:val="left" w:pos="576"/>
                <w:tab w:val="left" w:pos="864"/>
                <w:tab w:val="left" w:pos="1152"/>
              </w:tabs>
              <w:spacing w:before="40" w:after="81" w:line="210" w:lineRule="exact"/>
              <w:ind w:left="576" w:right="43" w:hanging="576"/>
              <w:rPr>
                <w:rFonts w:eastAsia="Times New Roman"/>
                <w:color w:val="000000" w:themeColor="text1"/>
                <w:spacing w:val="0"/>
                <w:w w:val="100"/>
                <w:kern w:val="0"/>
                <w:sz w:val="17"/>
                <w:szCs w:val="17"/>
                <w:lang w:val="en-US" w:eastAsia="zh-CN"/>
              </w:rPr>
            </w:pPr>
            <w:r w:rsidRPr="00E96905">
              <w:rPr>
                <w:rFonts w:eastAsia="Times New Roman"/>
                <w:color w:val="000000" w:themeColor="text1"/>
                <w:sz w:val="17"/>
                <w:szCs w:val="17"/>
                <w:lang w:val="en-US" w:eastAsia="zh-CN"/>
              </w:rPr>
              <w:tab/>
              <w:t>4.</w:t>
            </w:r>
            <w:r w:rsidRPr="00E96905">
              <w:rPr>
                <w:rFonts w:eastAsia="Times New Roman"/>
                <w:color w:val="000000" w:themeColor="text1"/>
                <w:sz w:val="17"/>
                <w:szCs w:val="17"/>
                <w:lang w:val="en-US" w:eastAsia="zh-CN"/>
              </w:rPr>
              <w:tab/>
              <w:t>Effective urban crisis prevention and response</w:t>
            </w:r>
          </w:p>
        </w:tc>
        <w:tc>
          <w:tcPr>
            <w:tcW w:w="927" w:type="dxa"/>
            <w:shd w:val="clear" w:color="auto" w:fill="auto"/>
            <w:vAlign w:val="bottom"/>
          </w:tcPr>
          <w:p w14:paraId="6049E4E2"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81 896.3</w:t>
            </w:r>
          </w:p>
        </w:tc>
        <w:tc>
          <w:tcPr>
            <w:tcW w:w="990" w:type="dxa"/>
            <w:shd w:val="clear" w:color="auto" w:fill="auto"/>
            <w:vAlign w:val="bottom"/>
          </w:tcPr>
          <w:p w14:paraId="0DDE9A68"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59 269.5 </w:t>
            </w:r>
          </w:p>
        </w:tc>
        <w:tc>
          <w:tcPr>
            <w:tcW w:w="963" w:type="dxa"/>
            <w:shd w:val="clear" w:color="auto" w:fill="auto"/>
            <w:vAlign w:val="bottom"/>
          </w:tcPr>
          <w:p w14:paraId="2FD63544"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p>
        </w:tc>
        <w:tc>
          <w:tcPr>
            <w:tcW w:w="783" w:type="dxa"/>
            <w:shd w:val="clear" w:color="auto" w:fill="auto"/>
            <w:vAlign w:val="bottom"/>
          </w:tcPr>
          <w:p w14:paraId="47C62EFF"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p>
        </w:tc>
        <w:tc>
          <w:tcPr>
            <w:tcW w:w="936" w:type="dxa"/>
            <w:shd w:val="clear" w:color="auto" w:fill="auto"/>
            <w:vAlign w:val="bottom"/>
          </w:tcPr>
          <w:p w14:paraId="1905B672"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p>
        </w:tc>
        <w:tc>
          <w:tcPr>
            <w:tcW w:w="855" w:type="dxa"/>
            <w:shd w:val="clear" w:color="auto" w:fill="auto"/>
            <w:vAlign w:val="bottom"/>
          </w:tcPr>
          <w:p w14:paraId="0B34E3AC"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484.0 </w:t>
            </w:r>
          </w:p>
        </w:tc>
        <w:tc>
          <w:tcPr>
            <w:tcW w:w="864" w:type="dxa"/>
            <w:shd w:val="clear" w:color="auto" w:fill="auto"/>
            <w:vAlign w:val="bottom"/>
          </w:tcPr>
          <w:p w14:paraId="070EF011"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0.8 </w:t>
            </w:r>
          </w:p>
        </w:tc>
        <w:tc>
          <w:tcPr>
            <w:tcW w:w="1008" w:type="dxa"/>
            <w:shd w:val="clear" w:color="auto" w:fill="auto"/>
            <w:vAlign w:val="bottom"/>
          </w:tcPr>
          <w:p w14:paraId="631C6097"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59 753.5 </w:t>
            </w:r>
          </w:p>
        </w:tc>
      </w:tr>
      <w:tr w:rsidR="003F2E7C" w:rsidRPr="00E96905" w14:paraId="6A0CD2B7" w14:textId="77777777" w:rsidTr="00206464">
        <w:trPr>
          <w:trHeight w:val="170"/>
        </w:trPr>
        <w:tc>
          <w:tcPr>
            <w:tcW w:w="2502" w:type="dxa"/>
            <w:tcBorders>
              <w:top w:val="single" w:sz="4" w:space="0" w:color="auto"/>
              <w:bottom w:val="single" w:sz="4" w:space="0" w:color="auto"/>
            </w:tcBorders>
            <w:shd w:val="clear" w:color="auto" w:fill="auto"/>
            <w:vAlign w:val="bottom"/>
            <w:hideMark/>
          </w:tcPr>
          <w:p w14:paraId="20E65DF9"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ab/>
              <w:t>Subtotal, C</w:t>
            </w:r>
          </w:p>
        </w:tc>
        <w:tc>
          <w:tcPr>
            <w:tcW w:w="927" w:type="dxa"/>
            <w:tcBorders>
              <w:top w:val="single" w:sz="4" w:space="0" w:color="auto"/>
              <w:bottom w:val="single" w:sz="4" w:space="0" w:color="auto"/>
            </w:tcBorders>
            <w:shd w:val="clear" w:color="auto" w:fill="auto"/>
            <w:vAlign w:val="bottom"/>
            <w:hideMark/>
          </w:tcPr>
          <w:p w14:paraId="40AFE91B"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128 946.6 </w:t>
            </w:r>
          </w:p>
        </w:tc>
        <w:tc>
          <w:tcPr>
            <w:tcW w:w="990" w:type="dxa"/>
            <w:tcBorders>
              <w:top w:val="single" w:sz="4" w:space="0" w:color="auto"/>
              <w:bottom w:val="single" w:sz="4" w:space="0" w:color="auto"/>
            </w:tcBorders>
            <w:shd w:val="clear" w:color="auto" w:fill="auto"/>
            <w:vAlign w:val="bottom"/>
            <w:hideMark/>
          </w:tcPr>
          <w:p w14:paraId="378E8DDF"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204 340.4 </w:t>
            </w:r>
          </w:p>
        </w:tc>
        <w:tc>
          <w:tcPr>
            <w:tcW w:w="963" w:type="dxa"/>
            <w:tcBorders>
              <w:top w:val="single" w:sz="4" w:space="0" w:color="auto"/>
              <w:bottom w:val="single" w:sz="4" w:space="0" w:color="auto"/>
            </w:tcBorders>
            <w:shd w:val="clear" w:color="auto" w:fill="auto"/>
            <w:vAlign w:val="bottom"/>
          </w:tcPr>
          <w:p w14:paraId="72E56E6A"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783" w:type="dxa"/>
            <w:tcBorders>
              <w:top w:val="single" w:sz="4" w:space="0" w:color="auto"/>
              <w:bottom w:val="single" w:sz="4" w:space="0" w:color="auto"/>
            </w:tcBorders>
            <w:shd w:val="clear" w:color="auto" w:fill="auto"/>
            <w:vAlign w:val="bottom"/>
          </w:tcPr>
          <w:p w14:paraId="66C9C082"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936" w:type="dxa"/>
            <w:tcBorders>
              <w:top w:val="single" w:sz="4" w:space="0" w:color="auto"/>
              <w:bottom w:val="single" w:sz="4" w:space="0" w:color="auto"/>
            </w:tcBorders>
            <w:shd w:val="clear" w:color="auto" w:fill="auto"/>
            <w:vAlign w:val="bottom"/>
          </w:tcPr>
          <w:p w14:paraId="64EB198F"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855" w:type="dxa"/>
            <w:tcBorders>
              <w:top w:val="single" w:sz="4" w:space="0" w:color="auto"/>
              <w:bottom w:val="single" w:sz="4" w:space="0" w:color="auto"/>
            </w:tcBorders>
            <w:shd w:val="clear" w:color="auto" w:fill="auto"/>
            <w:vAlign w:val="bottom"/>
            <w:hideMark/>
          </w:tcPr>
          <w:p w14:paraId="2A407717"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23 336.3 </w:t>
            </w:r>
          </w:p>
        </w:tc>
        <w:tc>
          <w:tcPr>
            <w:tcW w:w="864" w:type="dxa"/>
            <w:tcBorders>
              <w:top w:val="single" w:sz="4" w:space="0" w:color="auto"/>
              <w:bottom w:val="single" w:sz="4" w:space="0" w:color="auto"/>
            </w:tcBorders>
            <w:shd w:val="clear" w:color="auto" w:fill="auto"/>
            <w:vAlign w:val="bottom"/>
            <w:hideMark/>
          </w:tcPr>
          <w:p w14:paraId="062575AA"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11.4</w:t>
            </w:r>
          </w:p>
        </w:tc>
        <w:tc>
          <w:tcPr>
            <w:tcW w:w="1008" w:type="dxa"/>
            <w:tcBorders>
              <w:top w:val="single" w:sz="4" w:space="0" w:color="auto"/>
              <w:bottom w:val="single" w:sz="4" w:space="0" w:color="auto"/>
            </w:tcBorders>
            <w:shd w:val="clear" w:color="auto" w:fill="auto"/>
            <w:vAlign w:val="bottom"/>
            <w:hideMark/>
          </w:tcPr>
          <w:p w14:paraId="661FB919" w14:textId="77777777" w:rsidR="003F2E7C" w:rsidRPr="00E96905" w:rsidRDefault="003F2E7C" w:rsidP="00206464">
            <w:pPr>
              <w:tabs>
                <w:tab w:val="left" w:pos="288"/>
                <w:tab w:val="left" w:pos="576"/>
                <w:tab w:val="left" w:pos="864"/>
                <w:tab w:val="left" w:pos="1152"/>
              </w:tabs>
              <w:spacing w:before="81" w:after="81" w:line="210" w:lineRule="exact"/>
              <w:ind w:left="144" w:right="40" w:firstLine="124"/>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227 676.7 </w:t>
            </w:r>
          </w:p>
        </w:tc>
      </w:tr>
      <w:tr w:rsidR="003F2E7C" w:rsidRPr="00E96905" w14:paraId="4B9D553B" w14:textId="77777777" w:rsidTr="00206464">
        <w:trPr>
          <w:trHeight w:val="170"/>
        </w:trPr>
        <w:tc>
          <w:tcPr>
            <w:tcW w:w="2502" w:type="dxa"/>
            <w:tcBorders>
              <w:top w:val="single" w:sz="4" w:space="0" w:color="auto"/>
              <w:bottom w:val="single" w:sz="4" w:space="0" w:color="auto"/>
            </w:tcBorders>
            <w:shd w:val="clear" w:color="auto" w:fill="auto"/>
            <w:vAlign w:val="bottom"/>
          </w:tcPr>
          <w:p w14:paraId="08FCA022"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themeColor="text1"/>
                <w:spacing w:val="0"/>
                <w:w w:val="100"/>
                <w:kern w:val="0"/>
                <w:sz w:val="17"/>
                <w:szCs w:val="17"/>
                <w:lang w:eastAsia="zh-CN"/>
              </w:rPr>
            </w:pPr>
            <w:r w:rsidRPr="00E96905">
              <w:rPr>
                <w:rFonts w:eastAsia="Times New Roman"/>
                <w:color w:val="000000" w:themeColor="text1"/>
                <w:spacing w:val="0"/>
                <w:w w:val="100"/>
                <w:kern w:val="0"/>
                <w:sz w:val="17"/>
                <w:szCs w:val="17"/>
                <w:lang w:val="en-US" w:eastAsia="zh-CN"/>
              </w:rPr>
              <w:t>D.</w:t>
            </w:r>
            <w:r w:rsidRPr="00E96905">
              <w:rPr>
                <w:rFonts w:eastAsia="Times New Roman"/>
                <w:color w:val="000000" w:themeColor="text1"/>
                <w:spacing w:val="0"/>
                <w:w w:val="100"/>
                <w:kern w:val="0"/>
                <w:sz w:val="17"/>
                <w:szCs w:val="17"/>
                <w:lang w:val="en-US" w:eastAsia="zh-CN"/>
              </w:rPr>
              <w:tab/>
              <w:t xml:space="preserve">Programme support </w:t>
            </w:r>
          </w:p>
        </w:tc>
        <w:tc>
          <w:tcPr>
            <w:tcW w:w="927" w:type="dxa"/>
            <w:tcBorders>
              <w:top w:val="single" w:sz="4" w:space="0" w:color="auto"/>
              <w:bottom w:val="single" w:sz="4" w:space="0" w:color="auto"/>
            </w:tcBorders>
            <w:shd w:val="clear" w:color="auto" w:fill="auto"/>
            <w:vAlign w:val="bottom"/>
          </w:tcPr>
          <w:p w14:paraId="5E97F02C"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10 072.5</w:t>
            </w:r>
          </w:p>
        </w:tc>
        <w:tc>
          <w:tcPr>
            <w:tcW w:w="990" w:type="dxa"/>
            <w:tcBorders>
              <w:top w:val="single" w:sz="4" w:space="0" w:color="auto"/>
              <w:bottom w:val="single" w:sz="4" w:space="0" w:color="auto"/>
            </w:tcBorders>
            <w:shd w:val="clear" w:color="auto" w:fill="auto"/>
            <w:vAlign w:val="bottom"/>
          </w:tcPr>
          <w:p w14:paraId="05E5AE31"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6 314.6 </w:t>
            </w:r>
          </w:p>
        </w:tc>
        <w:tc>
          <w:tcPr>
            <w:tcW w:w="963" w:type="dxa"/>
            <w:tcBorders>
              <w:top w:val="single" w:sz="4" w:space="0" w:color="auto"/>
              <w:bottom w:val="single" w:sz="4" w:space="0" w:color="auto"/>
            </w:tcBorders>
            <w:shd w:val="clear" w:color="auto" w:fill="auto"/>
            <w:vAlign w:val="bottom"/>
          </w:tcPr>
          <w:p w14:paraId="575837FC"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themeColor="text1"/>
                <w:spacing w:val="0"/>
                <w:w w:val="100"/>
                <w:kern w:val="0"/>
                <w:sz w:val="17"/>
                <w:szCs w:val="17"/>
                <w:lang w:val="en-US" w:eastAsia="zh-CN"/>
              </w:rPr>
            </w:pPr>
          </w:p>
        </w:tc>
        <w:tc>
          <w:tcPr>
            <w:tcW w:w="783" w:type="dxa"/>
            <w:tcBorders>
              <w:top w:val="single" w:sz="4" w:space="0" w:color="auto"/>
              <w:bottom w:val="single" w:sz="4" w:space="0" w:color="auto"/>
            </w:tcBorders>
            <w:shd w:val="clear" w:color="auto" w:fill="auto"/>
            <w:vAlign w:val="bottom"/>
          </w:tcPr>
          <w:p w14:paraId="6E68A280"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themeColor="text1"/>
                <w:spacing w:val="0"/>
                <w:w w:val="100"/>
                <w:kern w:val="0"/>
                <w:sz w:val="17"/>
                <w:szCs w:val="17"/>
                <w:lang w:val="en-US" w:eastAsia="zh-CN"/>
              </w:rPr>
            </w:pPr>
          </w:p>
        </w:tc>
        <w:tc>
          <w:tcPr>
            <w:tcW w:w="936" w:type="dxa"/>
            <w:tcBorders>
              <w:top w:val="single" w:sz="4" w:space="0" w:color="auto"/>
              <w:bottom w:val="single" w:sz="4" w:space="0" w:color="auto"/>
            </w:tcBorders>
            <w:shd w:val="clear" w:color="auto" w:fill="auto"/>
            <w:vAlign w:val="bottom"/>
          </w:tcPr>
          <w:p w14:paraId="3F2EEE2E"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themeColor="text1"/>
                <w:spacing w:val="0"/>
                <w:w w:val="100"/>
                <w:kern w:val="0"/>
                <w:sz w:val="17"/>
                <w:szCs w:val="17"/>
                <w:lang w:val="en-US" w:eastAsia="zh-CN"/>
              </w:rPr>
            </w:pPr>
          </w:p>
        </w:tc>
        <w:tc>
          <w:tcPr>
            <w:tcW w:w="855" w:type="dxa"/>
            <w:tcBorders>
              <w:top w:val="single" w:sz="4" w:space="0" w:color="auto"/>
              <w:bottom w:val="single" w:sz="4" w:space="0" w:color="auto"/>
            </w:tcBorders>
            <w:shd w:val="clear" w:color="auto" w:fill="auto"/>
            <w:vAlign w:val="bottom"/>
          </w:tcPr>
          <w:p w14:paraId="067420EC"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1 737.0 </w:t>
            </w:r>
          </w:p>
        </w:tc>
        <w:tc>
          <w:tcPr>
            <w:tcW w:w="864" w:type="dxa"/>
            <w:tcBorders>
              <w:top w:val="single" w:sz="4" w:space="0" w:color="auto"/>
              <w:bottom w:val="single" w:sz="4" w:space="0" w:color="auto"/>
            </w:tcBorders>
            <w:shd w:val="clear" w:color="auto" w:fill="auto"/>
            <w:vAlign w:val="bottom"/>
          </w:tcPr>
          <w:p w14:paraId="301FB8C7"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27.5 </w:t>
            </w:r>
          </w:p>
        </w:tc>
        <w:tc>
          <w:tcPr>
            <w:tcW w:w="1008" w:type="dxa"/>
            <w:tcBorders>
              <w:top w:val="single" w:sz="4" w:space="0" w:color="auto"/>
              <w:bottom w:val="single" w:sz="4" w:space="0" w:color="auto"/>
            </w:tcBorders>
            <w:shd w:val="clear" w:color="auto" w:fill="auto"/>
            <w:vAlign w:val="bottom"/>
          </w:tcPr>
          <w:p w14:paraId="4C00893A"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8 051.6 </w:t>
            </w:r>
          </w:p>
        </w:tc>
      </w:tr>
      <w:tr w:rsidR="003F2E7C" w:rsidRPr="00E96905" w14:paraId="1398EBEB" w14:textId="77777777" w:rsidTr="00206464">
        <w:trPr>
          <w:trHeight w:val="170"/>
        </w:trPr>
        <w:tc>
          <w:tcPr>
            <w:tcW w:w="2502" w:type="dxa"/>
            <w:tcBorders>
              <w:top w:val="single" w:sz="4" w:space="0" w:color="auto"/>
              <w:bottom w:val="single" w:sz="4" w:space="0" w:color="auto"/>
            </w:tcBorders>
            <w:shd w:val="clear" w:color="auto" w:fill="auto"/>
            <w:vAlign w:val="bottom"/>
            <w:hideMark/>
          </w:tcPr>
          <w:p w14:paraId="6DDB8622"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eastAsia="zh-CN"/>
              </w:rPr>
              <w:tab/>
              <w:t>Subtotal</w:t>
            </w:r>
            <w:r>
              <w:rPr>
                <w:rFonts w:eastAsia="Times New Roman"/>
                <w:b/>
                <w:bCs/>
                <w:color w:val="000000" w:themeColor="text1"/>
                <w:spacing w:val="0"/>
                <w:w w:val="100"/>
                <w:kern w:val="0"/>
                <w:sz w:val="17"/>
                <w:szCs w:val="17"/>
                <w:lang w:eastAsia="zh-CN"/>
              </w:rPr>
              <w:t xml:space="preserve">, </w:t>
            </w:r>
            <w:r w:rsidRPr="00E96905">
              <w:rPr>
                <w:rFonts w:eastAsia="Times New Roman"/>
                <w:b/>
                <w:bCs/>
                <w:color w:val="000000" w:themeColor="text1"/>
                <w:spacing w:val="0"/>
                <w:w w:val="100"/>
                <w:kern w:val="0"/>
                <w:sz w:val="17"/>
                <w:szCs w:val="17"/>
                <w:lang w:eastAsia="zh-CN"/>
              </w:rPr>
              <w:t>2</w:t>
            </w:r>
          </w:p>
        </w:tc>
        <w:tc>
          <w:tcPr>
            <w:tcW w:w="927" w:type="dxa"/>
            <w:tcBorders>
              <w:top w:val="single" w:sz="4" w:space="0" w:color="auto"/>
              <w:bottom w:val="single" w:sz="4" w:space="0" w:color="auto"/>
            </w:tcBorders>
            <w:shd w:val="clear" w:color="auto" w:fill="auto"/>
            <w:vAlign w:val="bottom"/>
            <w:hideMark/>
          </w:tcPr>
          <w:p w14:paraId="19B5AE0E"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146 992.9</w:t>
            </w:r>
          </w:p>
        </w:tc>
        <w:tc>
          <w:tcPr>
            <w:tcW w:w="990" w:type="dxa"/>
            <w:tcBorders>
              <w:top w:val="single" w:sz="4" w:space="0" w:color="auto"/>
              <w:bottom w:val="single" w:sz="4" w:space="0" w:color="auto"/>
            </w:tcBorders>
            <w:shd w:val="clear" w:color="auto" w:fill="auto"/>
            <w:vAlign w:val="bottom"/>
            <w:hideMark/>
          </w:tcPr>
          <w:p w14:paraId="69E3118C"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215 682.7 </w:t>
            </w:r>
          </w:p>
        </w:tc>
        <w:tc>
          <w:tcPr>
            <w:tcW w:w="963" w:type="dxa"/>
            <w:tcBorders>
              <w:top w:val="single" w:sz="4" w:space="0" w:color="auto"/>
              <w:bottom w:val="single" w:sz="4" w:space="0" w:color="auto"/>
            </w:tcBorders>
            <w:shd w:val="clear" w:color="auto" w:fill="auto"/>
            <w:vAlign w:val="bottom"/>
          </w:tcPr>
          <w:p w14:paraId="4725061E"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783" w:type="dxa"/>
            <w:tcBorders>
              <w:top w:val="single" w:sz="4" w:space="0" w:color="auto"/>
              <w:bottom w:val="single" w:sz="4" w:space="0" w:color="auto"/>
            </w:tcBorders>
            <w:shd w:val="clear" w:color="auto" w:fill="auto"/>
            <w:vAlign w:val="bottom"/>
          </w:tcPr>
          <w:p w14:paraId="72689A11"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936" w:type="dxa"/>
            <w:tcBorders>
              <w:top w:val="single" w:sz="4" w:space="0" w:color="auto"/>
              <w:bottom w:val="single" w:sz="4" w:space="0" w:color="auto"/>
            </w:tcBorders>
            <w:shd w:val="clear" w:color="auto" w:fill="auto"/>
            <w:vAlign w:val="bottom"/>
          </w:tcPr>
          <w:p w14:paraId="31EB70F8"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855" w:type="dxa"/>
            <w:tcBorders>
              <w:top w:val="single" w:sz="4" w:space="0" w:color="auto"/>
              <w:bottom w:val="single" w:sz="4" w:space="0" w:color="auto"/>
            </w:tcBorders>
            <w:shd w:val="clear" w:color="auto" w:fill="auto"/>
            <w:vAlign w:val="bottom"/>
            <w:hideMark/>
          </w:tcPr>
          <w:p w14:paraId="30599810"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26 491.9 </w:t>
            </w:r>
          </w:p>
        </w:tc>
        <w:tc>
          <w:tcPr>
            <w:tcW w:w="864" w:type="dxa"/>
            <w:tcBorders>
              <w:top w:val="single" w:sz="4" w:space="0" w:color="auto"/>
              <w:bottom w:val="single" w:sz="4" w:space="0" w:color="auto"/>
            </w:tcBorders>
            <w:shd w:val="clear" w:color="auto" w:fill="auto"/>
            <w:vAlign w:val="bottom"/>
            <w:hideMark/>
          </w:tcPr>
          <w:p w14:paraId="782B599A"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12.3 </w:t>
            </w:r>
          </w:p>
        </w:tc>
        <w:tc>
          <w:tcPr>
            <w:tcW w:w="1008" w:type="dxa"/>
            <w:tcBorders>
              <w:top w:val="single" w:sz="4" w:space="0" w:color="auto"/>
              <w:bottom w:val="single" w:sz="4" w:space="0" w:color="auto"/>
            </w:tcBorders>
            <w:shd w:val="clear" w:color="auto" w:fill="auto"/>
            <w:vAlign w:val="bottom"/>
            <w:hideMark/>
          </w:tcPr>
          <w:p w14:paraId="32196733"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242 174.6 </w:t>
            </w:r>
          </w:p>
        </w:tc>
      </w:tr>
      <w:tr w:rsidR="003F2E7C" w:rsidRPr="00E96905" w14:paraId="4D90BB86" w14:textId="77777777" w:rsidTr="00206464">
        <w:trPr>
          <w:trHeight w:val="170"/>
        </w:trPr>
        <w:tc>
          <w:tcPr>
            <w:tcW w:w="2502" w:type="dxa"/>
            <w:tcBorders>
              <w:top w:val="single" w:sz="4" w:space="0" w:color="auto"/>
              <w:bottom w:val="single" w:sz="12" w:space="0" w:color="auto"/>
            </w:tcBorders>
            <w:shd w:val="clear" w:color="auto" w:fill="auto"/>
            <w:vAlign w:val="bottom"/>
            <w:hideMark/>
          </w:tcPr>
          <w:p w14:paraId="6C9F486C"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ab/>
              <w:t>Total</w:t>
            </w:r>
          </w:p>
        </w:tc>
        <w:tc>
          <w:tcPr>
            <w:tcW w:w="927" w:type="dxa"/>
            <w:tcBorders>
              <w:top w:val="single" w:sz="4" w:space="0" w:color="auto"/>
              <w:bottom w:val="single" w:sz="12" w:space="0" w:color="auto"/>
            </w:tcBorders>
            <w:shd w:val="clear" w:color="auto" w:fill="auto"/>
            <w:vAlign w:val="bottom"/>
            <w:hideMark/>
          </w:tcPr>
          <w:p w14:paraId="35AA3DF6"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159 160.4 </w:t>
            </w:r>
          </w:p>
        </w:tc>
        <w:tc>
          <w:tcPr>
            <w:tcW w:w="990" w:type="dxa"/>
            <w:tcBorders>
              <w:top w:val="single" w:sz="4" w:space="0" w:color="auto"/>
              <w:bottom w:val="single" w:sz="12" w:space="0" w:color="auto"/>
            </w:tcBorders>
            <w:shd w:val="clear" w:color="auto" w:fill="auto"/>
            <w:vAlign w:val="bottom"/>
            <w:hideMark/>
          </w:tcPr>
          <w:p w14:paraId="5F17E167"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228 178.5 </w:t>
            </w:r>
          </w:p>
        </w:tc>
        <w:tc>
          <w:tcPr>
            <w:tcW w:w="963" w:type="dxa"/>
            <w:tcBorders>
              <w:top w:val="single" w:sz="4" w:space="0" w:color="auto"/>
              <w:bottom w:val="single" w:sz="12" w:space="0" w:color="auto"/>
            </w:tcBorders>
            <w:shd w:val="clear" w:color="auto" w:fill="auto"/>
            <w:vAlign w:val="bottom"/>
          </w:tcPr>
          <w:p w14:paraId="322F20DC"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783" w:type="dxa"/>
            <w:tcBorders>
              <w:top w:val="single" w:sz="4" w:space="0" w:color="auto"/>
              <w:bottom w:val="single" w:sz="12" w:space="0" w:color="auto"/>
            </w:tcBorders>
            <w:shd w:val="clear" w:color="auto" w:fill="auto"/>
            <w:vAlign w:val="bottom"/>
          </w:tcPr>
          <w:p w14:paraId="550C55BD"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936" w:type="dxa"/>
            <w:tcBorders>
              <w:top w:val="single" w:sz="4" w:space="0" w:color="auto"/>
              <w:bottom w:val="single" w:sz="12" w:space="0" w:color="auto"/>
            </w:tcBorders>
            <w:shd w:val="clear" w:color="auto" w:fill="auto"/>
            <w:vAlign w:val="bottom"/>
          </w:tcPr>
          <w:p w14:paraId="554207E1"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855" w:type="dxa"/>
            <w:tcBorders>
              <w:top w:val="single" w:sz="4" w:space="0" w:color="auto"/>
              <w:bottom w:val="single" w:sz="12" w:space="0" w:color="auto"/>
            </w:tcBorders>
            <w:shd w:val="clear" w:color="auto" w:fill="auto"/>
            <w:vAlign w:val="bottom"/>
            <w:hideMark/>
          </w:tcPr>
          <w:p w14:paraId="613522DF"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27 285.1 </w:t>
            </w:r>
          </w:p>
        </w:tc>
        <w:tc>
          <w:tcPr>
            <w:tcW w:w="864" w:type="dxa"/>
            <w:tcBorders>
              <w:top w:val="single" w:sz="4" w:space="0" w:color="auto"/>
              <w:bottom w:val="single" w:sz="12" w:space="0" w:color="auto"/>
            </w:tcBorders>
            <w:shd w:val="clear" w:color="auto" w:fill="auto"/>
            <w:vAlign w:val="bottom"/>
            <w:hideMark/>
          </w:tcPr>
          <w:p w14:paraId="4E87A093"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12.0</w:t>
            </w:r>
          </w:p>
        </w:tc>
        <w:tc>
          <w:tcPr>
            <w:tcW w:w="1008" w:type="dxa"/>
            <w:tcBorders>
              <w:top w:val="single" w:sz="4" w:space="0" w:color="auto"/>
              <w:bottom w:val="single" w:sz="12" w:space="0" w:color="auto"/>
            </w:tcBorders>
            <w:shd w:val="clear" w:color="auto" w:fill="auto"/>
            <w:vAlign w:val="bottom"/>
            <w:hideMark/>
          </w:tcPr>
          <w:p w14:paraId="4427FFE5"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255 463.6 </w:t>
            </w:r>
          </w:p>
        </w:tc>
      </w:tr>
    </w:tbl>
    <w:p w14:paraId="4476DA86" w14:textId="77777777" w:rsidR="003F2E7C" w:rsidRPr="00E96905" w:rsidRDefault="003F2E7C" w:rsidP="003F2E7C">
      <w:pPr>
        <w:pStyle w:val="SingleTxt"/>
        <w:spacing w:after="0" w:line="120" w:lineRule="exact"/>
        <w:rPr>
          <w:sz w:val="10"/>
        </w:rPr>
      </w:pPr>
    </w:p>
    <w:p w14:paraId="1EAA0E2A" w14:textId="77777777" w:rsidR="003F2E7C" w:rsidRPr="00E96905" w:rsidRDefault="003F2E7C" w:rsidP="003F2E7C">
      <w:pPr>
        <w:suppressAutoHyphens w:val="0"/>
        <w:spacing w:after="200" w:line="276" w:lineRule="auto"/>
        <w:rPr>
          <w:sz w:val="10"/>
        </w:rPr>
      </w:pPr>
      <w:r w:rsidRPr="00E96905">
        <w:rPr>
          <w:sz w:val="10"/>
        </w:rPr>
        <w:br w:type="page"/>
      </w:r>
    </w:p>
    <w:p w14:paraId="7CEE1FAB"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outlineLvl w:val="1"/>
        <w:rPr>
          <w:bCs/>
          <w:color w:val="000000" w:themeColor="text1"/>
        </w:rPr>
      </w:pPr>
      <w:r w:rsidRPr="00E96905">
        <w:rPr>
          <w:bCs/>
          <w:color w:val="000000" w:themeColor="text1"/>
        </w:rPr>
        <w:lastRenderedPageBreak/>
        <w:t>Table 15.15</w:t>
      </w:r>
    </w:p>
    <w:p w14:paraId="5641EF16"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outlineLvl w:val="1"/>
        <w:rPr>
          <w:b/>
          <w:color w:val="000000" w:themeColor="text1"/>
        </w:rPr>
      </w:pPr>
      <w:r w:rsidRPr="00E96905">
        <w:rPr>
          <w:b/>
          <w:color w:val="000000" w:themeColor="text1"/>
        </w:rPr>
        <w:t>Overall: proposed posts for 2022 by source of funding, component and subprogramme</w:t>
      </w:r>
    </w:p>
    <w:p w14:paraId="3A7E0485" w14:textId="77777777" w:rsidR="003F2E7C" w:rsidRPr="00E96905" w:rsidRDefault="003F2E7C" w:rsidP="003F2E7C">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b w:val="0"/>
          <w:bCs/>
          <w:sz w:val="14"/>
          <w:szCs w:val="14"/>
        </w:rPr>
      </w:pPr>
      <w:r w:rsidRPr="00E96905">
        <w:rPr>
          <w:b w:val="0"/>
          <w:bCs/>
          <w:sz w:val="14"/>
          <w:szCs w:val="14"/>
        </w:rPr>
        <w:t>(Number of posts)</w:t>
      </w:r>
    </w:p>
    <w:p w14:paraId="0F8040E1" w14:textId="77777777" w:rsidR="003F2E7C" w:rsidRPr="00E96905" w:rsidRDefault="003F2E7C" w:rsidP="003F2E7C">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4"/>
        <w:jc w:val="both"/>
        <w:rPr>
          <w:color w:val="000000" w:themeColor="text1"/>
          <w:sz w:val="10"/>
          <w:szCs w:val="14"/>
        </w:rPr>
      </w:pPr>
    </w:p>
    <w:p w14:paraId="4645B40E" w14:textId="77777777" w:rsidR="003F2E7C" w:rsidRPr="00E96905" w:rsidRDefault="003F2E7C" w:rsidP="003F2E7C">
      <w:pPr>
        <w:pStyle w:val="H4"/>
        <w:ind w:right="1260"/>
      </w:pPr>
      <w:r w:rsidRPr="00E96905">
        <w:tab/>
      </w:r>
      <w:r w:rsidRPr="00E96905">
        <w:rPr>
          <w:i w:val="0"/>
          <w:iCs/>
        </w:rPr>
        <w:t>(1)</w:t>
      </w:r>
      <w:r w:rsidRPr="00E96905">
        <w:tab/>
        <w:t>Regular budget</w:t>
      </w:r>
    </w:p>
    <w:p w14:paraId="7B195F63" w14:textId="77777777" w:rsidR="003F2E7C" w:rsidRPr="00E96905" w:rsidRDefault="003F2E7C" w:rsidP="003F2E7C">
      <w:pPr>
        <w:pStyle w:val="SingleTxt"/>
        <w:spacing w:after="0" w:line="120" w:lineRule="exact"/>
        <w:rPr>
          <w:sz w:val="10"/>
        </w:rPr>
      </w:pPr>
    </w:p>
    <w:p w14:paraId="176D6529" w14:textId="77777777" w:rsidR="003F2E7C" w:rsidRPr="00E96905" w:rsidRDefault="003F2E7C" w:rsidP="003F2E7C">
      <w:pPr>
        <w:pStyle w:val="SingleTxt"/>
        <w:spacing w:after="0" w:line="120" w:lineRule="exact"/>
        <w:rPr>
          <w:sz w:val="10"/>
        </w:rPr>
      </w:pPr>
    </w:p>
    <w:tbl>
      <w:tblPr>
        <w:tblW w:w="4998" w:type="pct"/>
        <w:tblLayout w:type="fixed"/>
        <w:tblCellMar>
          <w:left w:w="0" w:type="dxa"/>
          <w:right w:w="0" w:type="dxa"/>
        </w:tblCellMar>
        <w:tblLook w:val="04A0" w:firstRow="1" w:lastRow="0" w:firstColumn="1" w:lastColumn="0" w:noHBand="0" w:noVBand="1"/>
      </w:tblPr>
      <w:tblGrid>
        <w:gridCol w:w="3297"/>
        <w:gridCol w:w="1084"/>
        <w:gridCol w:w="1134"/>
        <w:gridCol w:w="1134"/>
        <w:gridCol w:w="1134"/>
        <w:gridCol w:w="1136"/>
        <w:gridCol w:w="927"/>
      </w:tblGrid>
      <w:tr w:rsidR="003F2E7C" w:rsidRPr="00E96905" w14:paraId="27D7BE37" w14:textId="77777777" w:rsidTr="00206464">
        <w:trPr>
          <w:trHeight w:val="20"/>
          <w:tblHeader/>
        </w:trPr>
        <w:tc>
          <w:tcPr>
            <w:tcW w:w="1674" w:type="pct"/>
            <w:tcBorders>
              <w:top w:val="single" w:sz="4" w:space="0" w:color="auto"/>
            </w:tcBorders>
            <w:shd w:val="clear" w:color="auto" w:fill="auto"/>
            <w:vAlign w:val="bottom"/>
          </w:tcPr>
          <w:p w14:paraId="5ACE83AD" w14:textId="77777777" w:rsidR="003F2E7C" w:rsidRPr="00E96905" w:rsidRDefault="003F2E7C" w:rsidP="00206464">
            <w:pPr>
              <w:spacing w:before="81" w:after="81" w:line="160" w:lineRule="exact"/>
              <w:ind w:right="40"/>
              <w:rPr>
                <w:rFonts w:eastAsia="Times New Roman"/>
                <w:i/>
                <w:iCs/>
                <w:color w:val="000000"/>
                <w:spacing w:val="0"/>
                <w:w w:val="100"/>
                <w:kern w:val="0"/>
                <w:sz w:val="14"/>
                <w:szCs w:val="17"/>
                <w:lang w:val="en-US" w:eastAsia="zh-CN"/>
              </w:rPr>
            </w:pPr>
          </w:p>
        </w:tc>
        <w:tc>
          <w:tcPr>
            <w:tcW w:w="550" w:type="pct"/>
            <w:tcBorders>
              <w:top w:val="single" w:sz="4" w:space="0" w:color="auto"/>
            </w:tcBorders>
            <w:shd w:val="clear" w:color="auto" w:fill="auto"/>
            <w:vAlign w:val="bottom"/>
          </w:tcPr>
          <w:p w14:paraId="3F9E5D03"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p>
        </w:tc>
        <w:tc>
          <w:tcPr>
            <w:tcW w:w="2305" w:type="pct"/>
            <w:gridSpan w:val="4"/>
            <w:tcBorders>
              <w:top w:val="single" w:sz="4" w:space="0" w:color="auto"/>
              <w:bottom w:val="single" w:sz="4" w:space="0" w:color="auto"/>
            </w:tcBorders>
            <w:shd w:val="clear" w:color="auto" w:fill="auto"/>
            <w:vAlign w:val="bottom"/>
          </w:tcPr>
          <w:p w14:paraId="39631BC6" w14:textId="77777777" w:rsidR="003F2E7C" w:rsidRPr="00E96905" w:rsidRDefault="003F2E7C" w:rsidP="00206464">
            <w:pPr>
              <w:spacing w:before="81" w:after="81" w:line="160" w:lineRule="exact"/>
              <w:ind w:left="144" w:right="40"/>
              <w:jc w:val="center"/>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Changes</w:t>
            </w:r>
          </w:p>
        </w:tc>
        <w:tc>
          <w:tcPr>
            <w:tcW w:w="471" w:type="pct"/>
            <w:vMerge w:val="restart"/>
            <w:tcBorders>
              <w:top w:val="single" w:sz="4" w:space="0" w:color="auto"/>
            </w:tcBorders>
            <w:shd w:val="clear" w:color="auto" w:fill="auto"/>
            <w:vAlign w:val="bottom"/>
          </w:tcPr>
          <w:p w14:paraId="2A2D530C"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2022 proposed</w:t>
            </w:r>
          </w:p>
        </w:tc>
      </w:tr>
      <w:tr w:rsidR="003F2E7C" w:rsidRPr="00E96905" w14:paraId="0D0D51F0" w14:textId="77777777" w:rsidTr="00206464">
        <w:trPr>
          <w:trHeight w:val="20"/>
          <w:tblHeader/>
        </w:trPr>
        <w:tc>
          <w:tcPr>
            <w:tcW w:w="1674" w:type="pct"/>
            <w:tcBorders>
              <w:bottom w:val="single" w:sz="12" w:space="0" w:color="auto"/>
            </w:tcBorders>
            <w:shd w:val="clear" w:color="auto" w:fill="auto"/>
            <w:vAlign w:val="bottom"/>
            <w:hideMark/>
          </w:tcPr>
          <w:p w14:paraId="1AA90911" w14:textId="77777777" w:rsidR="003F2E7C" w:rsidRPr="00E96905" w:rsidRDefault="003F2E7C" w:rsidP="00206464">
            <w:pPr>
              <w:spacing w:before="81" w:after="81" w:line="160" w:lineRule="exact"/>
              <w:ind w:right="40"/>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Component/subprogramme</w:t>
            </w:r>
          </w:p>
        </w:tc>
        <w:tc>
          <w:tcPr>
            <w:tcW w:w="550" w:type="pct"/>
            <w:tcBorders>
              <w:bottom w:val="single" w:sz="12" w:space="0" w:color="auto"/>
            </w:tcBorders>
            <w:shd w:val="clear" w:color="auto" w:fill="auto"/>
            <w:vAlign w:val="bottom"/>
            <w:hideMark/>
          </w:tcPr>
          <w:p w14:paraId="61CD96C8"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 xml:space="preserve">2021 </w:t>
            </w:r>
            <w:r w:rsidRPr="00E96905">
              <w:rPr>
                <w:rFonts w:eastAsia="Times New Roman"/>
                <w:i/>
                <w:iCs/>
                <w:color w:val="000000"/>
                <w:spacing w:val="0"/>
                <w:w w:val="100"/>
                <w:kern w:val="0"/>
                <w:sz w:val="14"/>
                <w:szCs w:val="17"/>
                <w:lang w:val="en-US" w:eastAsia="zh-CN"/>
              </w:rPr>
              <w:br/>
              <w:t>approved</w:t>
            </w:r>
          </w:p>
        </w:tc>
        <w:tc>
          <w:tcPr>
            <w:tcW w:w="576" w:type="pct"/>
            <w:tcBorders>
              <w:top w:val="single" w:sz="4" w:space="0" w:color="auto"/>
              <w:bottom w:val="single" w:sz="12" w:space="0" w:color="auto"/>
            </w:tcBorders>
            <w:shd w:val="clear" w:color="auto" w:fill="auto"/>
            <w:vAlign w:val="bottom"/>
            <w:hideMark/>
          </w:tcPr>
          <w:p w14:paraId="271E6D0B"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Technical adjustments</w:t>
            </w:r>
          </w:p>
        </w:tc>
        <w:tc>
          <w:tcPr>
            <w:tcW w:w="576" w:type="pct"/>
            <w:tcBorders>
              <w:top w:val="single" w:sz="4" w:space="0" w:color="auto"/>
              <w:bottom w:val="single" w:sz="12" w:space="0" w:color="auto"/>
            </w:tcBorders>
            <w:shd w:val="clear" w:color="auto" w:fill="auto"/>
            <w:vAlign w:val="bottom"/>
            <w:hideMark/>
          </w:tcPr>
          <w:p w14:paraId="554A1889"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New</w:t>
            </w:r>
            <w:r>
              <w:rPr>
                <w:rFonts w:eastAsia="Times New Roman"/>
                <w:i/>
                <w:iCs/>
                <w:color w:val="000000"/>
                <w:spacing w:val="0"/>
                <w:w w:val="100"/>
                <w:kern w:val="0"/>
                <w:sz w:val="14"/>
                <w:szCs w:val="17"/>
                <w:lang w:val="en-US" w:eastAsia="zh-CN"/>
              </w:rPr>
              <w:t>/</w:t>
            </w:r>
            <w:r w:rsidRPr="00E96905">
              <w:rPr>
                <w:rFonts w:eastAsia="Times New Roman"/>
                <w:i/>
                <w:iCs/>
                <w:color w:val="000000"/>
                <w:spacing w:val="0"/>
                <w:w w:val="100"/>
                <w:kern w:val="0"/>
                <w:sz w:val="14"/>
                <w:szCs w:val="17"/>
                <w:lang w:val="en-US" w:eastAsia="zh-CN"/>
              </w:rPr>
              <w:t xml:space="preserve">expanded mandates </w:t>
            </w:r>
          </w:p>
        </w:tc>
        <w:tc>
          <w:tcPr>
            <w:tcW w:w="576" w:type="pct"/>
            <w:tcBorders>
              <w:top w:val="single" w:sz="4" w:space="0" w:color="auto"/>
              <w:bottom w:val="single" w:sz="12" w:space="0" w:color="auto"/>
            </w:tcBorders>
            <w:shd w:val="clear" w:color="auto" w:fill="auto"/>
            <w:vAlign w:val="bottom"/>
            <w:hideMark/>
          </w:tcPr>
          <w:p w14:paraId="169C1BEF"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 xml:space="preserve">Other </w:t>
            </w:r>
          </w:p>
        </w:tc>
        <w:tc>
          <w:tcPr>
            <w:tcW w:w="576" w:type="pct"/>
            <w:tcBorders>
              <w:top w:val="single" w:sz="4" w:space="0" w:color="auto"/>
              <w:bottom w:val="single" w:sz="12" w:space="0" w:color="auto"/>
            </w:tcBorders>
            <w:shd w:val="clear" w:color="auto" w:fill="auto"/>
            <w:vAlign w:val="bottom"/>
            <w:hideMark/>
          </w:tcPr>
          <w:p w14:paraId="7DE86355"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r w:rsidRPr="00E96905">
              <w:rPr>
                <w:rFonts w:eastAsia="Times New Roman"/>
                <w:i/>
                <w:iCs/>
                <w:color w:val="000000"/>
                <w:spacing w:val="0"/>
                <w:w w:val="100"/>
                <w:kern w:val="0"/>
                <w:sz w:val="14"/>
                <w:szCs w:val="17"/>
                <w:lang w:val="en-US" w:eastAsia="zh-CN"/>
              </w:rPr>
              <w:t xml:space="preserve">Total </w:t>
            </w:r>
          </w:p>
        </w:tc>
        <w:tc>
          <w:tcPr>
            <w:tcW w:w="471" w:type="pct"/>
            <w:vMerge/>
            <w:tcBorders>
              <w:bottom w:val="single" w:sz="12" w:space="0" w:color="auto"/>
            </w:tcBorders>
            <w:shd w:val="clear" w:color="auto" w:fill="auto"/>
            <w:vAlign w:val="bottom"/>
            <w:hideMark/>
          </w:tcPr>
          <w:p w14:paraId="5737A6F8" w14:textId="77777777" w:rsidR="003F2E7C" w:rsidRPr="00E96905" w:rsidRDefault="003F2E7C" w:rsidP="00206464">
            <w:pPr>
              <w:spacing w:before="81" w:after="81" w:line="160" w:lineRule="exact"/>
              <w:ind w:left="144" w:right="40"/>
              <w:jc w:val="right"/>
              <w:rPr>
                <w:rFonts w:eastAsia="Times New Roman"/>
                <w:i/>
                <w:iCs/>
                <w:color w:val="000000"/>
                <w:spacing w:val="0"/>
                <w:w w:val="100"/>
                <w:kern w:val="0"/>
                <w:sz w:val="14"/>
                <w:szCs w:val="17"/>
                <w:lang w:val="en-US" w:eastAsia="zh-CN"/>
              </w:rPr>
            </w:pPr>
          </w:p>
        </w:tc>
      </w:tr>
      <w:tr w:rsidR="003F2E7C" w:rsidRPr="00E96905" w14:paraId="4DA3F3BB" w14:textId="77777777" w:rsidTr="00206464">
        <w:trPr>
          <w:trHeight w:hRule="exact" w:val="115"/>
          <w:tblHeader/>
        </w:trPr>
        <w:tc>
          <w:tcPr>
            <w:tcW w:w="1674" w:type="pct"/>
            <w:tcBorders>
              <w:top w:val="single" w:sz="12" w:space="0" w:color="auto"/>
            </w:tcBorders>
            <w:shd w:val="clear" w:color="auto" w:fill="auto"/>
            <w:vAlign w:val="bottom"/>
          </w:tcPr>
          <w:p w14:paraId="530D0F7F" w14:textId="77777777" w:rsidR="003F2E7C" w:rsidRPr="00E96905" w:rsidRDefault="003F2E7C" w:rsidP="00206464">
            <w:pPr>
              <w:spacing w:before="40" w:after="40" w:line="210" w:lineRule="exact"/>
              <w:ind w:right="40"/>
              <w:rPr>
                <w:rFonts w:eastAsia="Times New Roman"/>
                <w:color w:val="000000"/>
                <w:spacing w:val="0"/>
                <w:w w:val="100"/>
                <w:kern w:val="0"/>
                <w:sz w:val="17"/>
                <w:szCs w:val="17"/>
                <w:lang w:val="en-US" w:eastAsia="zh-CN"/>
              </w:rPr>
            </w:pPr>
          </w:p>
        </w:tc>
        <w:tc>
          <w:tcPr>
            <w:tcW w:w="550" w:type="pct"/>
            <w:tcBorders>
              <w:top w:val="single" w:sz="12" w:space="0" w:color="auto"/>
            </w:tcBorders>
            <w:shd w:val="clear" w:color="auto" w:fill="auto"/>
            <w:vAlign w:val="bottom"/>
          </w:tcPr>
          <w:p w14:paraId="37185487"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576" w:type="pct"/>
            <w:tcBorders>
              <w:top w:val="single" w:sz="12" w:space="0" w:color="auto"/>
            </w:tcBorders>
            <w:shd w:val="clear" w:color="auto" w:fill="auto"/>
            <w:vAlign w:val="bottom"/>
          </w:tcPr>
          <w:p w14:paraId="3B6F8D45"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576" w:type="pct"/>
            <w:tcBorders>
              <w:top w:val="single" w:sz="12" w:space="0" w:color="auto"/>
            </w:tcBorders>
            <w:shd w:val="clear" w:color="auto" w:fill="auto"/>
            <w:vAlign w:val="bottom"/>
          </w:tcPr>
          <w:p w14:paraId="418B5BD2"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576" w:type="pct"/>
            <w:tcBorders>
              <w:top w:val="single" w:sz="12" w:space="0" w:color="auto"/>
            </w:tcBorders>
            <w:shd w:val="clear" w:color="auto" w:fill="auto"/>
            <w:vAlign w:val="bottom"/>
          </w:tcPr>
          <w:p w14:paraId="1A4E5345"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576" w:type="pct"/>
            <w:tcBorders>
              <w:top w:val="single" w:sz="12" w:space="0" w:color="auto"/>
            </w:tcBorders>
            <w:shd w:val="clear" w:color="auto" w:fill="auto"/>
            <w:vAlign w:val="bottom"/>
          </w:tcPr>
          <w:p w14:paraId="49DD3896"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c>
          <w:tcPr>
            <w:tcW w:w="471" w:type="pct"/>
            <w:tcBorders>
              <w:top w:val="single" w:sz="12" w:space="0" w:color="auto"/>
            </w:tcBorders>
            <w:shd w:val="clear" w:color="auto" w:fill="auto"/>
            <w:vAlign w:val="bottom"/>
          </w:tcPr>
          <w:p w14:paraId="46D0A703" w14:textId="77777777" w:rsidR="003F2E7C" w:rsidRPr="00E96905" w:rsidRDefault="003F2E7C" w:rsidP="00206464">
            <w:pPr>
              <w:spacing w:before="40" w:after="40" w:line="210" w:lineRule="exact"/>
              <w:ind w:left="144" w:right="40"/>
              <w:jc w:val="right"/>
              <w:rPr>
                <w:rFonts w:eastAsia="Times New Roman"/>
                <w:color w:val="000000"/>
                <w:spacing w:val="0"/>
                <w:w w:val="100"/>
                <w:kern w:val="0"/>
                <w:sz w:val="17"/>
                <w:szCs w:val="17"/>
                <w:lang w:val="en-US" w:eastAsia="zh-CN"/>
              </w:rPr>
            </w:pPr>
          </w:p>
        </w:tc>
      </w:tr>
      <w:tr w:rsidR="003F2E7C" w:rsidRPr="00E96905" w14:paraId="4AC63C6D" w14:textId="77777777" w:rsidTr="001863EA">
        <w:trPr>
          <w:trHeight w:val="20"/>
        </w:trPr>
        <w:tc>
          <w:tcPr>
            <w:tcW w:w="1674" w:type="pct"/>
            <w:shd w:val="clear" w:color="auto" w:fill="auto"/>
            <w:vAlign w:val="center"/>
            <w:hideMark/>
          </w:tcPr>
          <w:p w14:paraId="25CA3E60" w14:textId="77777777" w:rsidR="003F2E7C" w:rsidRPr="00E96905" w:rsidRDefault="003F2E7C" w:rsidP="00206464">
            <w:pPr>
              <w:tabs>
                <w:tab w:val="left" w:pos="288"/>
                <w:tab w:val="left" w:pos="576"/>
                <w:tab w:val="left" w:pos="864"/>
                <w:tab w:val="left" w:pos="1152"/>
              </w:tabs>
              <w:spacing w:before="40" w:after="40" w:line="210" w:lineRule="exact"/>
              <w:ind w:left="288" w:right="40" w:hanging="288"/>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A.</w:t>
            </w:r>
            <w:r w:rsidRPr="00E96905">
              <w:rPr>
                <w:rFonts w:eastAsia="Times New Roman"/>
                <w:color w:val="000000" w:themeColor="text1"/>
                <w:spacing w:val="0"/>
                <w:w w:val="100"/>
                <w:kern w:val="0"/>
                <w:sz w:val="17"/>
                <w:szCs w:val="17"/>
                <w:lang w:val="en-US" w:eastAsia="zh-CN"/>
              </w:rPr>
              <w:tab/>
              <w:t>Policymaking organs</w:t>
            </w:r>
          </w:p>
        </w:tc>
        <w:tc>
          <w:tcPr>
            <w:tcW w:w="550" w:type="pct"/>
            <w:shd w:val="clear" w:color="auto" w:fill="auto"/>
            <w:vAlign w:val="bottom"/>
          </w:tcPr>
          <w:p w14:paraId="5AC7C2DD"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5 </w:t>
            </w:r>
          </w:p>
        </w:tc>
        <w:tc>
          <w:tcPr>
            <w:tcW w:w="576" w:type="pct"/>
            <w:shd w:val="clear" w:color="auto" w:fill="auto"/>
            <w:vAlign w:val="bottom"/>
          </w:tcPr>
          <w:p w14:paraId="3C8B77E5"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4D835D57"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43A0A194"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046395D8"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471" w:type="pct"/>
            <w:shd w:val="clear" w:color="auto" w:fill="auto"/>
            <w:vAlign w:val="bottom"/>
          </w:tcPr>
          <w:p w14:paraId="7B78223B"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5 </w:t>
            </w:r>
          </w:p>
        </w:tc>
      </w:tr>
      <w:tr w:rsidR="003F2E7C" w:rsidRPr="00E96905" w14:paraId="1AD3F4A5" w14:textId="77777777" w:rsidTr="001863EA">
        <w:trPr>
          <w:trHeight w:val="20"/>
        </w:trPr>
        <w:tc>
          <w:tcPr>
            <w:tcW w:w="1674" w:type="pct"/>
            <w:shd w:val="clear" w:color="auto" w:fill="auto"/>
            <w:vAlign w:val="center"/>
            <w:hideMark/>
          </w:tcPr>
          <w:p w14:paraId="3208F957" w14:textId="77777777" w:rsidR="003F2E7C" w:rsidRPr="00E96905" w:rsidRDefault="003F2E7C" w:rsidP="00206464">
            <w:pPr>
              <w:tabs>
                <w:tab w:val="left" w:pos="288"/>
                <w:tab w:val="left" w:pos="576"/>
                <w:tab w:val="left" w:pos="864"/>
                <w:tab w:val="left" w:pos="1152"/>
              </w:tabs>
              <w:spacing w:before="40" w:after="40" w:line="210" w:lineRule="exact"/>
              <w:ind w:left="288" w:right="40" w:hanging="288"/>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B.</w:t>
            </w:r>
            <w:r w:rsidRPr="00E96905">
              <w:rPr>
                <w:rFonts w:eastAsia="Times New Roman"/>
                <w:color w:val="000000" w:themeColor="text1"/>
                <w:spacing w:val="0"/>
                <w:w w:val="100"/>
                <w:kern w:val="0"/>
                <w:sz w:val="17"/>
                <w:szCs w:val="17"/>
                <w:lang w:val="en-US" w:eastAsia="zh-CN"/>
              </w:rPr>
              <w:tab/>
              <w:t xml:space="preserve">Executive direction and management </w:t>
            </w:r>
          </w:p>
        </w:tc>
        <w:tc>
          <w:tcPr>
            <w:tcW w:w="550" w:type="pct"/>
            <w:shd w:val="clear" w:color="auto" w:fill="auto"/>
            <w:vAlign w:val="bottom"/>
          </w:tcPr>
          <w:p w14:paraId="1D524CFC"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 xml:space="preserve"> 7 </w:t>
            </w:r>
          </w:p>
        </w:tc>
        <w:tc>
          <w:tcPr>
            <w:tcW w:w="576" w:type="pct"/>
            <w:shd w:val="clear" w:color="auto" w:fill="auto"/>
            <w:vAlign w:val="bottom"/>
          </w:tcPr>
          <w:p w14:paraId="796012DF"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75C0DF1B"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033C16CF"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3343AA63"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471" w:type="pct"/>
            <w:shd w:val="clear" w:color="auto" w:fill="auto"/>
            <w:vAlign w:val="bottom"/>
          </w:tcPr>
          <w:p w14:paraId="45EC71BB"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r w:rsidRPr="00E96905">
              <w:rPr>
                <w:rFonts w:eastAsia="Times New Roman"/>
                <w:color w:val="000000" w:themeColor="text1"/>
                <w:spacing w:val="0"/>
                <w:w w:val="100"/>
                <w:kern w:val="0"/>
                <w:sz w:val="17"/>
                <w:szCs w:val="17"/>
                <w:lang w:val="en-US" w:eastAsia="zh-CN"/>
              </w:rPr>
              <w:t xml:space="preserve"> 7 </w:t>
            </w:r>
          </w:p>
        </w:tc>
      </w:tr>
      <w:tr w:rsidR="003F2E7C" w:rsidRPr="00E96905" w14:paraId="6609FDB8" w14:textId="77777777" w:rsidTr="00206464">
        <w:trPr>
          <w:trHeight w:val="20"/>
        </w:trPr>
        <w:tc>
          <w:tcPr>
            <w:tcW w:w="1674" w:type="pct"/>
            <w:shd w:val="clear" w:color="auto" w:fill="auto"/>
            <w:vAlign w:val="center"/>
          </w:tcPr>
          <w:p w14:paraId="505D0C06" w14:textId="77777777" w:rsidR="003F2E7C" w:rsidRPr="00E96905" w:rsidRDefault="003F2E7C" w:rsidP="00206464">
            <w:pPr>
              <w:tabs>
                <w:tab w:val="left" w:pos="288"/>
                <w:tab w:val="left" w:pos="576"/>
                <w:tab w:val="left" w:pos="864"/>
                <w:tab w:val="left" w:pos="1152"/>
              </w:tabs>
              <w:spacing w:before="40" w:after="40" w:line="210" w:lineRule="exact"/>
              <w:ind w:left="288" w:right="40" w:hanging="288"/>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C.</w:t>
            </w:r>
            <w:r w:rsidRPr="00E96905">
              <w:rPr>
                <w:rFonts w:eastAsia="Times New Roman"/>
                <w:color w:val="000000" w:themeColor="text1"/>
                <w:spacing w:val="0"/>
                <w:w w:val="100"/>
                <w:kern w:val="0"/>
                <w:sz w:val="17"/>
                <w:szCs w:val="17"/>
                <w:lang w:val="en-US" w:eastAsia="zh-CN"/>
              </w:rPr>
              <w:tab/>
              <w:t>Programme of work</w:t>
            </w:r>
          </w:p>
        </w:tc>
        <w:tc>
          <w:tcPr>
            <w:tcW w:w="550" w:type="pct"/>
            <w:shd w:val="clear" w:color="auto" w:fill="auto"/>
            <w:vAlign w:val="center"/>
          </w:tcPr>
          <w:p w14:paraId="1CA310DB"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576" w:type="pct"/>
            <w:shd w:val="clear" w:color="auto" w:fill="auto"/>
            <w:vAlign w:val="center"/>
          </w:tcPr>
          <w:p w14:paraId="36CA70C2"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576" w:type="pct"/>
            <w:shd w:val="clear" w:color="auto" w:fill="auto"/>
            <w:vAlign w:val="center"/>
          </w:tcPr>
          <w:p w14:paraId="0F549C1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576" w:type="pct"/>
            <w:shd w:val="clear" w:color="auto" w:fill="auto"/>
            <w:vAlign w:val="center"/>
          </w:tcPr>
          <w:p w14:paraId="3BF5017C"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576" w:type="pct"/>
            <w:shd w:val="clear" w:color="auto" w:fill="auto"/>
            <w:vAlign w:val="center"/>
          </w:tcPr>
          <w:p w14:paraId="4146D7C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c>
          <w:tcPr>
            <w:tcW w:w="471" w:type="pct"/>
            <w:shd w:val="clear" w:color="auto" w:fill="auto"/>
            <w:vAlign w:val="center"/>
          </w:tcPr>
          <w:p w14:paraId="55D1A09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spacing w:val="0"/>
                <w:w w:val="100"/>
                <w:kern w:val="0"/>
                <w:sz w:val="17"/>
                <w:lang w:val="en-US" w:eastAsia="zh-CN"/>
              </w:rPr>
            </w:pPr>
          </w:p>
        </w:tc>
      </w:tr>
      <w:tr w:rsidR="003F2E7C" w:rsidRPr="00E96905" w14:paraId="02E76BAA" w14:textId="77777777" w:rsidTr="001863EA">
        <w:trPr>
          <w:trHeight w:val="20"/>
        </w:trPr>
        <w:tc>
          <w:tcPr>
            <w:tcW w:w="1674" w:type="pct"/>
            <w:shd w:val="clear" w:color="auto" w:fill="auto"/>
            <w:vAlign w:val="center"/>
          </w:tcPr>
          <w:p w14:paraId="28575F46" w14:textId="77777777" w:rsidR="003F2E7C" w:rsidRPr="00E96905" w:rsidRDefault="003F2E7C" w:rsidP="00206464">
            <w:pPr>
              <w:tabs>
                <w:tab w:val="left" w:pos="288"/>
                <w:tab w:val="left" w:pos="576"/>
                <w:tab w:val="left" w:pos="864"/>
                <w:tab w:val="left" w:pos="1152"/>
              </w:tabs>
              <w:spacing w:before="40" w:after="40" w:line="210" w:lineRule="exact"/>
              <w:ind w:left="576" w:right="43" w:hanging="576"/>
              <w:rPr>
                <w:rFonts w:eastAsia="Times New Roman"/>
                <w:color w:val="000000"/>
                <w:spacing w:val="0"/>
                <w:w w:val="100"/>
                <w:kern w:val="0"/>
                <w:sz w:val="17"/>
                <w:szCs w:val="17"/>
                <w:lang w:val="en-US" w:eastAsia="zh-CN"/>
              </w:rPr>
            </w:pPr>
            <w:r w:rsidRPr="00E96905">
              <w:rPr>
                <w:rFonts w:eastAsia="Times New Roman"/>
                <w:color w:val="000000" w:themeColor="text1"/>
                <w:sz w:val="17"/>
                <w:szCs w:val="17"/>
                <w:lang w:val="en-US" w:eastAsia="zh-CN"/>
              </w:rPr>
              <w:tab/>
              <w:t>5.</w:t>
            </w:r>
            <w:r w:rsidRPr="00E96905">
              <w:rPr>
                <w:rFonts w:eastAsia="Times New Roman"/>
                <w:color w:val="000000" w:themeColor="text1"/>
                <w:sz w:val="17"/>
                <w:szCs w:val="17"/>
                <w:lang w:val="en-US" w:eastAsia="zh-CN"/>
              </w:rPr>
              <w:tab/>
              <w:t>Reduced spatial inequality and poverty in communities across the urban-rural continuum</w:t>
            </w:r>
            <w:r>
              <w:rPr>
                <w:rFonts w:eastAsia="Times New Roman"/>
                <w:color w:val="000000" w:themeColor="text1"/>
                <w:sz w:val="17"/>
                <w:szCs w:val="17"/>
                <w:lang w:val="en-US" w:eastAsia="zh-CN"/>
              </w:rPr>
              <w:t xml:space="preserve"> </w:t>
            </w:r>
          </w:p>
        </w:tc>
        <w:tc>
          <w:tcPr>
            <w:tcW w:w="550" w:type="pct"/>
            <w:shd w:val="clear" w:color="auto" w:fill="auto"/>
            <w:vAlign w:val="bottom"/>
          </w:tcPr>
          <w:p w14:paraId="3AEEDBB1"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13 </w:t>
            </w:r>
          </w:p>
        </w:tc>
        <w:tc>
          <w:tcPr>
            <w:tcW w:w="576" w:type="pct"/>
            <w:shd w:val="clear" w:color="auto" w:fill="auto"/>
            <w:vAlign w:val="bottom"/>
          </w:tcPr>
          <w:p w14:paraId="786EF847"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5437B9F9"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78E65ACC"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3836400B"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471" w:type="pct"/>
            <w:shd w:val="clear" w:color="auto" w:fill="auto"/>
            <w:vAlign w:val="bottom"/>
          </w:tcPr>
          <w:p w14:paraId="1443AA42"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13 </w:t>
            </w:r>
          </w:p>
        </w:tc>
      </w:tr>
      <w:tr w:rsidR="003F2E7C" w:rsidRPr="00E96905" w14:paraId="4ED17929" w14:textId="77777777" w:rsidTr="001863EA">
        <w:trPr>
          <w:trHeight w:val="20"/>
        </w:trPr>
        <w:tc>
          <w:tcPr>
            <w:tcW w:w="1674" w:type="pct"/>
            <w:shd w:val="clear" w:color="auto" w:fill="auto"/>
            <w:vAlign w:val="center"/>
          </w:tcPr>
          <w:p w14:paraId="031A0964" w14:textId="77777777" w:rsidR="003F2E7C" w:rsidRPr="00E96905" w:rsidRDefault="003F2E7C" w:rsidP="00206464">
            <w:pPr>
              <w:tabs>
                <w:tab w:val="left" w:pos="288"/>
                <w:tab w:val="left" w:pos="576"/>
                <w:tab w:val="left" w:pos="864"/>
                <w:tab w:val="left" w:pos="1152"/>
              </w:tabs>
              <w:spacing w:before="40" w:after="40" w:line="210" w:lineRule="exact"/>
              <w:ind w:left="576" w:right="43" w:hanging="576"/>
              <w:rPr>
                <w:rFonts w:eastAsia="Times New Roman"/>
                <w:color w:val="000000"/>
                <w:spacing w:val="0"/>
                <w:w w:val="100"/>
                <w:kern w:val="0"/>
                <w:sz w:val="17"/>
                <w:szCs w:val="17"/>
                <w:lang w:val="en-US" w:eastAsia="zh-CN"/>
              </w:rPr>
            </w:pPr>
            <w:r w:rsidRPr="00E96905">
              <w:rPr>
                <w:rFonts w:eastAsia="Times New Roman"/>
                <w:color w:val="000000" w:themeColor="text1"/>
                <w:sz w:val="17"/>
                <w:szCs w:val="17"/>
                <w:lang w:val="en-US" w:eastAsia="zh-CN"/>
              </w:rPr>
              <w:tab/>
              <w:t>6.</w:t>
            </w:r>
            <w:r w:rsidRPr="00E96905">
              <w:rPr>
                <w:rFonts w:eastAsia="Times New Roman"/>
                <w:color w:val="000000" w:themeColor="text1"/>
                <w:sz w:val="17"/>
                <w:szCs w:val="17"/>
                <w:lang w:val="en-US" w:eastAsia="zh-CN"/>
              </w:rPr>
              <w:tab/>
              <w:t>Enhanced shared prosperity of cities and regions</w:t>
            </w:r>
            <w:r w:rsidRPr="00E96905">
              <w:rPr>
                <w:rFonts w:eastAsia="Times New Roman"/>
                <w:color w:val="000000" w:themeColor="text1"/>
                <w:spacing w:val="0"/>
                <w:w w:val="100"/>
                <w:kern w:val="0"/>
                <w:sz w:val="17"/>
                <w:szCs w:val="17"/>
                <w:lang w:eastAsia="zh-CN"/>
              </w:rPr>
              <w:t xml:space="preserve"> </w:t>
            </w:r>
          </w:p>
        </w:tc>
        <w:tc>
          <w:tcPr>
            <w:tcW w:w="550" w:type="pct"/>
            <w:shd w:val="clear" w:color="auto" w:fill="auto"/>
            <w:vAlign w:val="bottom"/>
          </w:tcPr>
          <w:p w14:paraId="18E6F063"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17 </w:t>
            </w:r>
          </w:p>
        </w:tc>
        <w:tc>
          <w:tcPr>
            <w:tcW w:w="576" w:type="pct"/>
            <w:shd w:val="clear" w:color="auto" w:fill="auto"/>
            <w:vAlign w:val="bottom"/>
          </w:tcPr>
          <w:p w14:paraId="6EA0D322"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2AD0BB61"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24B13B9A"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(1) </w:t>
            </w:r>
          </w:p>
        </w:tc>
        <w:tc>
          <w:tcPr>
            <w:tcW w:w="576" w:type="pct"/>
            <w:shd w:val="clear" w:color="auto" w:fill="auto"/>
            <w:vAlign w:val="bottom"/>
          </w:tcPr>
          <w:p w14:paraId="3E4841BC"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w:t>
            </w:r>
          </w:p>
        </w:tc>
        <w:tc>
          <w:tcPr>
            <w:tcW w:w="471" w:type="pct"/>
            <w:shd w:val="clear" w:color="auto" w:fill="auto"/>
            <w:vAlign w:val="bottom"/>
          </w:tcPr>
          <w:p w14:paraId="750EAB60"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16 </w:t>
            </w:r>
          </w:p>
        </w:tc>
      </w:tr>
      <w:tr w:rsidR="003F2E7C" w:rsidRPr="00E96905" w14:paraId="1753A110" w14:textId="77777777" w:rsidTr="001863EA">
        <w:trPr>
          <w:trHeight w:val="20"/>
        </w:trPr>
        <w:tc>
          <w:tcPr>
            <w:tcW w:w="1674" w:type="pct"/>
            <w:shd w:val="clear" w:color="auto" w:fill="auto"/>
            <w:vAlign w:val="center"/>
          </w:tcPr>
          <w:p w14:paraId="5521FA54" w14:textId="77777777" w:rsidR="003F2E7C" w:rsidRPr="00E96905" w:rsidRDefault="003F2E7C" w:rsidP="00206464">
            <w:pPr>
              <w:tabs>
                <w:tab w:val="left" w:pos="288"/>
                <w:tab w:val="left" w:pos="576"/>
                <w:tab w:val="left" w:pos="864"/>
                <w:tab w:val="left" w:pos="1152"/>
              </w:tabs>
              <w:spacing w:before="40" w:after="40" w:line="210" w:lineRule="exact"/>
              <w:ind w:left="576" w:right="43" w:hanging="576"/>
              <w:rPr>
                <w:rFonts w:eastAsia="Times New Roman"/>
                <w:color w:val="000000"/>
                <w:spacing w:val="0"/>
                <w:w w:val="100"/>
                <w:kern w:val="0"/>
                <w:sz w:val="17"/>
                <w:szCs w:val="17"/>
                <w:lang w:val="en-US" w:eastAsia="zh-CN"/>
              </w:rPr>
            </w:pPr>
            <w:r w:rsidRPr="00E96905">
              <w:rPr>
                <w:rFonts w:eastAsia="Times New Roman"/>
                <w:sz w:val="17"/>
                <w:szCs w:val="17"/>
              </w:rPr>
              <w:tab/>
              <w:t>7.</w:t>
            </w:r>
            <w:r w:rsidRPr="00E96905">
              <w:rPr>
                <w:rFonts w:eastAsia="Times New Roman"/>
                <w:sz w:val="17"/>
                <w:szCs w:val="17"/>
              </w:rPr>
              <w:tab/>
              <w:t>Strengthened climate action and improved urban</w:t>
            </w:r>
            <w:r w:rsidRPr="00E96905">
              <w:rPr>
                <w:rFonts w:eastAsia="Times New Roman"/>
                <w:color w:val="000000" w:themeColor="text1"/>
                <w:spacing w:val="0"/>
                <w:w w:val="100"/>
                <w:kern w:val="0"/>
                <w:sz w:val="17"/>
                <w:szCs w:val="17"/>
                <w:lang w:eastAsia="zh-CN"/>
              </w:rPr>
              <w:t xml:space="preserve"> environment</w:t>
            </w:r>
          </w:p>
        </w:tc>
        <w:tc>
          <w:tcPr>
            <w:tcW w:w="550" w:type="pct"/>
            <w:shd w:val="clear" w:color="auto" w:fill="auto"/>
            <w:vAlign w:val="bottom"/>
          </w:tcPr>
          <w:p w14:paraId="138D3997"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14 </w:t>
            </w:r>
          </w:p>
        </w:tc>
        <w:tc>
          <w:tcPr>
            <w:tcW w:w="576" w:type="pct"/>
            <w:shd w:val="clear" w:color="auto" w:fill="auto"/>
            <w:vAlign w:val="bottom"/>
          </w:tcPr>
          <w:p w14:paraId="2BE71DDD"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5C71701D"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shd w:val="clear" w:color="auto" w:fill="auto"/>
            <w:vAlign w:val="bottom"/>
          </w:tcPr>
          <w:p w14:paraId="06E6F7A8"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(1) </w:t>
            </w:r>
          </w:p>
        </w:tc>
        <w:tc>
          <w:tcPr>
            <w:tcW w:w="576" w:type="pct"/>
            <w:shd w:val="clear" w:color="auto" w:fill="auto"/>
            <w:vAlign w:val="bottom"/>
          </w:tcPr>
          <w:p w14:paraId="65B7A9D1"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w:t>
            </w:r>
          </w:p>
        </w:tc>
        <w:tc>
          <w:tcPr>
            <w:tcW w:w="471" w:type="pct"/>
            <w:shd w:val="clear" w:color="auto" w:fill="auto"/>
            <w:vAlign w:val="bottom"/>
          </w:tcPr>
          <w:p w14:paraId="51FAA332" w14:textId="77777777" w:rsidR="003F2E7C" w:rsidRPr="00E96905" w:rsidRDefault="003F2E7C" w:rsidP="001863EA">
            <w:pPr>
              <w:tabs>
                <w:tab w:val="left" w:pos="288"/>
                <w:tab w:val="left" w:pos="576"/>
                <w:tab w:val="left" w:pos="864"/>
                <w:tab w:val="left" w:pos="1152"/>
              </w:tabs>
              <w:spacing w:before="40" w:after="40"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13 </w:t>
            </w:r>
          </w:p>
        </w:tc>
      </w:tr>
      <w:tr w:rsidR="003F2E7C" w:rsidRPr="00E96905" w14:paraId="73024E4F" w14:textId="77777777" w:rsidTr="001863EA">
        <w:trPr>
          <w:trHeight w:val="20"/>
        </w:trPr>
        <w:tc>
          <w:tcPr>
            <w:tcW w:w="1674" w:type="pct"/>
            <w:tcBorders>
              <w:bottom w:val="single" w:sz="4" w:space="0" w:color="auto"/>
            </w:tcBorders>
            <w:shd w:val="clear" w:color="auto" w:fill="auto"/>
            <w:vAlign w:val="center"/>
          </w:tcPr>
          <w:p w14:paraId="7E56ABDD" w14:textId="77777777" w:rsidR="003F2E7C" w:rsidRPr="00E96905" w:rsidRDefault="003F2E7C" w:rsidP="00206464">
            <w:pPr>
              <w:tabs>
                <w:tab w:val="left" w:pos="288"/>
                <w:tab w:val="left" w:pos="576"/>
                <w:tab w:val="left" w:pos="864"/>
                <w:tab w:val="left" w:pos="1152"/>
              </w:tabs>
              <w:spacing w:before="40" w:after="81" w:line="210" w:lineRule="exact"/>
              <w:ind w:left="576" w:right="43" w:hanging="576"/>
              <w:rPr>
                <w:rFonts w:eastAsia="Times New Roman"/>
                <w:color w:val="000000"/>
                <w:spacing w:val="0"/>
                <w:w w:val="100"/>
                <w:kern w:val="0"/>
                <w:sz w:val="17"/>
                <w:szCs w:val="17"/>
                <w:lang w:val="en-US" w:eastAsia="zh-CN"/>
              </w:rPr>
            </w:pPr>
            <w:r w:rsidRPr="00E96905">
              <w:rPr>
                <w:rFonts w:eastAsia="Times New Roman"/>
                <w:sz w:val="17"/>
                <w:szCs w:val="17"/>
              </w:rPr>
              <w:tab/>
              <w:t>8.</w:t>
            </w:r>
            <w:r w:rsidRPr="00E96905">
              <w:rPr>
                <w:rFonts w:eastAsia="Times New Roman"/>
                <w:sz w:val="17"/>
                <w:szCs w:val="17"/>
              </w:rPr>
              <w:tab/>
              <w:t>Effective urban crisis prevention and response</w:t>
            </w:r>
          </w:p>
        </w:tc>
        <w:tc>
          <w:tcPr>
            <w:tcW w:w="550" w:type="pct"/>
            <w:tcBorders>
              <w:bottom w:val="single" w:sz="4" w:space="0" w:color="auto"/>
            </w:tcBorders>
            <w:shd w:val="clear" w:color="auto" w:fill="auto"/>
            <w:vAlign w:val="bottom"/>
          </w:tcPr>
          <w:p w14:paraId="5E0C414F" w14:textId="77777777" w:rsidR="003F2E7C" w:rsidRPr="00E96905" w:rsidRDefault="003F2E7C" w:rsidP="001863EA">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12 </w:t>
            </w:r>
          </w:p>
        </w:tc>
        <w:tc>
          <w:tcPr>
            <w:tcW w:w="576" w:type="pct"/>
            <w:tcBorders>
              <w:bottom w:val="single" w:sz="4" w:space="0" w:color="auto"/>
            </w:tcBorders>
            <w:shd w:val="clear" w:color="auto" w:fill="auto"/>
            <w:vAlign w:val="bottom"/>
          </w:tcPr>
          <w:p w14:paraId="17324FA4" w14:textId="77777777" w:rsidR="003F2E7C" w:rsidRPr="00E96905" w:rsidRDefault="003F2E7C" w:rsidP="001863EA">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tcBorders>
              <w:bottom w:val="single" w:sz="4" w:space="0" w:color="auto"/>
            </w:tcBorders>
            <w:shd w:val="clear" w:color="auto" w:fill="auto"/>
            <w:vAlign w:val="bottom"/>
          </w:tcPr>
          <w:p w14:paraId="0025F530" w14:textId="77777777" w:rsidR="003F2E7C" w:rsidRPr="00E96905" w:rsidRDefault="003F2E7C" w:rsidP="001863EA">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tcBorders>
              <w:bottom w:val="single" w:sz="4" w:space="0" w:color="auto"/>
            </w:tcBorders>
            <w:shd w:val="clear" w:color="auto" w:fill="auto"/>
            <w:vAlign w:val="bottom"/>
          </w:tcPr>
          <w:p w14:paraId="4B3BE52A" w14:textId="77777777" w:rsidR="003F2E7C" w:rsidRPr="00E96905" w:rsidRDefault="003F2E7C" w:rsidP="001863EA">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2 </w:t>
            </w:r>
          </w:p>
        </w:tc>
        <w:tc>
          <w:tcPr>
            <w:tcW w:w="576" w:type="pct"/>
            <w:tcBorders>
              <w:bottom w:val="single" w:sz="4" w:space="0" w:color="auto"/>
            </w:tcBorders>
            <w:shd w:val="clear" w:color="auto" w:fill="auto"/>
            <w:vAlign w:val="bottom"/>
          </w:tcPr>
          <w:p w14:paraId="53D354F9" w14:textId="77777777" w:rsidR="003F2E7C" w:rsidRPr="00E96905" w:rsidRDefault="003F2E7C" w:rsidP="001863EA">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2 </w:t>
            </w:r>
          </w:p>
        </w:tc>
        <w:tc>
          <w:tcPr>
            <w:tcW w:w="471" w:type="pct"/>
            <w:tcBorders>
              <w:bottom w:val="single" w:sz="4" w:space="0" w:color="auto"/>
            </w:tcBorders>
            <w:shd w:val="clear" w:color="auto" w:fill="auto"/>
            <w:vAlign w:val="bottom"/>
          </w:tcPr>
          <w:p w14:paraId="6D6FBF14" w14:textId="77777777" w:rsidR="003F2E7C" w:rsidRPr="00E96905" w:rsidRDefault="003F2E7C" w:rsidP="001863EA">
            <w:pPr>
              <w:tabs>
                <w:tab w:val="left" w:pos="288"/>
                <w:tab w:val="left" w:pos="576"/>
                <w:tab w:val="left" w:pos="864"/>
                <w:tab w:val="left" w:pos="1152"/>
              </w:tabs>
              <w:spacing w:before="40"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14 </w:t>
            </w:r>
          </w:p>
        </w:tc>
      </w:tr>
      <w:tr w:rsidR="003F2E7C" w:rsidRPr="00E96905" w14:paraId="00F17427" w14:textId="77777777" w:rsidTr="00206464">
        <w:trPr>
          <w:trHeight w:val="20"/>
        </w:trPr>
        <w:tc>
          <w:tcPr>
            <w:tcW w:w="1674" w:type="pct"/>
            <w:tcBorders>
              <w:top w:val="single" w:sz="4" w:space="0" w:color="auto"/>
              <w:bottom w:val="single" w:sz="4" w:space="0" w:color="auto"/>
            </w:tcBorders>
            <w:shd w:val="clear" w:color="auto" w:fill="auto"/>
            <w:vAlign w:val="bottom"/>
            <w:hideMark/>
          </w:tcPr>
          <w:p w14:paraId="3A832A34"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spacing w:val="0"/>
                <w:w w:val="100"/>
                <w:kern w:val="0"/>
                <w:sz w:val="17"/>
                <w:szCs w:val="17"/>
                <w:lang w:val="en-US" w:eastAsia="zh-CN"/>
              </w:rPr>
            </w:pPr>
            <w:r w:rsidRPr="00E96905">
              <w:rPr>
                <w:rFonts w:eastAsia="Times New Roman"/>
                <w:b/>
                <w:bCs/>
                <w:color w:val="000000"/>
                <w:spacing w:val="0"/>
                <w:w w:val="100"/>
                <w:kern w:val="0"/>
                <w:sz w:val="17"/>
                <w:szCs w:val="17"/>
                <w:lang w:val="en-US" w:eastAsia="zh-CN"/>
              </w:rPr>
              <w:tab/>
              <w:t>Subtotal, C</w:t>
            </w:r>
          </w:p>
        </w:tc>
        <w:tc>
          <w:tcPr>
            <w:tcW w:w="550" w:type="pct"/>
            <w:tcBorders>
              <w:top w:val="single" w:sz="4" w:space="0" w:color="auto"/>
              <w:bottom w:val="single" w:sz="4" w:space="0" w:color="auto"/>
            </w:tcBorders>
            <w:shd w:val="clear" w:color="auto" w:fill="auto"/>
            <w:vAlign w:val="center"/>
          </w:tcPr>
          <w:p w14:paraId="54F6F052"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56 </w:t>
            </w:r>
          </w:p>
        </w:tc>
        <w:tc>
          <w:tcPr>
            <w:tcW w:w="576" w:type="pct"/>
            <w:tcBorders>
              <w:top w:val="single" w:sz="4" w:space="0" w:color="auto"/>
              <w:bottom w:val="single" w:sz="4" w:space="0" w:color="auto"/>
            </w:tcBorders>
            <w:shd w:val="clear" w:color="auto" w:fill="auto"/>
            <w:vAlign w:val="center"/>
          </w:tcPr>
          <w:p w14:paraId="206E550E"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 </w:t>
            </w:r>
          </w:p>
        </w:tc>
        <w:tc>
          <w:tcPr>
            <w:tcW w:w="576" w:type="pct"/>
            <w:tcBorders>
              <w:top w:val="single" w:sz="4" w:space="0" w:color="auto"/>
              <w:bottom w:val="single" w:sz="4" w:space="0" w:color="auto"/>
            </w:tcBorders>
            <w:shd w:val="clear" w:color="auto" w:fill="auto"/>
            <w:vAlign w:val="center"/>
          </w:tcPr>
          <w:p w14:paraId="43C1B6B4"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 </w:t>
            </w:r>
          </w:p>
        </w:tc>
        <w:tc>
          <w:tcPr>
            <w:tcW w:w="576" w:type="pct"/>
            <w:tcBorders>
              <w:top w:val="single" w:sz="4" w:space="0" w:color="auto"/>
              <w:bottom w:val="single" w:sz="4" w:space="0" w:color="auto"/>
            </w:tcBorders>
            <w:shd w:val="clear" w:color="auto" w:fill="auto"/>
            <w:vAlign w:val="center"/>
          </w:tcPr>
          <w:p w14:paraId="798AEF34"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 </w:t>
            </w:r>
          </w:p>
        </w:tc>
        <w:tc>
          <w:tcPr>
            <w:tcW w:w="576" w:type="pct"/>
            <w:tcBorders>
              <w:top w:val="single" w:sz="4" w:space="0" w:color="auto"/>
              <w:bottom w:val="single" w:sz="4" w:space="0" w:color="auto"/>
            </w:tcBorders>
            <w:shd w:val="clear" w:color="auto" w:fill="auto"/>
            <w:vAlign w:val="center"/>
          </w:tcPr>
          <w:p w14:paraId="62079998"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 </w:t>
            </w:r>
          </w:p>
        </w:tc>
        <w:tc>
          <w:tcPr>
            <w:tcW w:w="471" w:type="pct"/>
            <w:tcBorders>
              <w:top w:val="single" w:sz="4" w:space="0" w:color="auto"/>
              <w:bottom w:val="single" w:sz="4" w:space="0" w:color="auto"/>
            </w:tcBorders>
            <w:shd w:val="clear" w:color="auto" w:fill="auto"/>
            <w:vAlign w:val="center"/>
          </w:tcPr>
          <w:p w14:paraId="589C5839"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56 </w:t>
            </w:r>
          </w:p>
        </w:tc>
      </w:tr>
      <w:tr w:rsidR="003F2E7C" w:rsidRPr="00E96905" w14:paraId="0C07B76C" w14:textId="77777777" w:rsidTr="00206464">
        <w:trPr>
          <w:trHeight w:val="20"/>
        </w:trPr>
        <w:tc>
          <w:tcPr>
            <w:tcW w:w="1674" w:type="pct"/>
            <w:tcBorders>
              <w:top w:val="single" w:sz="4" w:space="0" w:color="auto"/>
              <w:bottom w:val="single" w:sz="4" w:space="0" w:color="auto"/>
            </w:tcBorders>
            <w:shd w:val="clear" w:color="auto" w:fill="auto"/>
            <w:vAlign w:val="bottom"/>
            <w:hideMark/>
          </w:tcPr>
          <w:p w14:paraId="4A01AFCB"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color w:val="000000"/>
                <w:spacing w:val="0"/>
                <w:w w:val="100"/>
                <w:kern w:val="0"/>
                <w:sz w:val="17"/>
                <w:szCs w:val="17"/>
                <w:lang w:val="en-US" w:eastAsia="zh-CN"/>
              </w:rPr>
            </w:pPr>
            <w:r w:rsidRPr="00E96905">
              <w:rPr>
                <w:rFonts w:eastAsia="Times New Roman"/>
                <w:color w:val="000000"/>
                <w:spacing w:val="0"/>
                <w:w w:val="100"/>
                <w:kern w:val="0"/>
                <w:sz w:val="17"/>
                <w:szCs w:val="17"/>
                <w:lang w:val="en-US" w:eastAsia="zh-CN"/>
              </w:rPr>
              <w:t>D.</w:t>
            </w:r>
            <w:r w:rsidRPr="00E96905">
              <w:rPr>
                <w:rFonts w:eastAsia="Times New Roman"/>
                <w:color w:val="000000"/>
                <w:spacing w:val="0"/>
                <w:w w:val="100"/>
                <w:kern w:val="0"/>
                <w:sz w:val="17"/>
                <w:szCs w:val="17"/>
                <w:lang w:val="en-US" w:eastAsia="zh-CN"/>
              </w:rPr>
              <w:tab/>
              <w:t>Programme support</w:t>
            </w:r>
          </w:p>
        </w:tc>
        <w:tc>
          <w:tcPr>
            <w:tcW w:w="550" w:type="pct"/>
            <w:tcBorders>
              <w:top w:val="single" w:sz="4" w:space="0" w:color="auto"/>
              <w:bottom w:val="single" w:sz="4" w:space="0" w:color="auto"/>
            </w:tcBorders>
            <w:shd w:val="clear" w:color="auto" w:fill="auto"/>
            <w:vAlign w:val="center"/>
          </w:tcPr>
          <w:p w14:paraId="3DC1DE5B"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7 </w:t>
            </w:r>
          </w:p>
        </w:tc>
        <w:tc>
          <w:tcPr>
            <w:tcW w:w="576" w:type="pct"/>
            <w:tcBorders>
              <w:top w:val="single" w:sz="4" w:space="0" w:color="auto"/>
              <w:bottom w:val="single" w:sz="4" w:space="0" w:color="auto"/>
            </w:tcBorders>
            <w:shd w:val="clear" w:color="auto" w:fill="auto"/>
            <w:vAlign w:val="center"/>
          </w:tcPr>
          <w:p w14:paraId="517C25AB"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tcBorders>
              <w:top w:val="single" w:sz="4" w:space="0" w:color="auto"/>
              <w:bottom w:val="single" w:sz="4" w:space="0" w:color="auto"/>
            </w:tcBorders>
            <w:shd w:val="clear" w:color="auto" w:fill="auto"/>
            <w:vAlign w:val="center"/>
          </w:tcPr>
          <w:p w14:paraId="22BDFE72"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tcBorders>
              <w:top w:val="single" w:sz="4" w:space="0" w:color="auto"/>
              <w:bottom w:val="single" w:sz="4" w:space="0" w:color="auto"/>
            </w:tcBorders>
            <w:shd w:val="clear" w:color="auto" w:fill="auto"/>
            <w:vAlign w:val="center"/>
          </w:tcPr>
          <w:p w14:paraId="6DD70F69"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576" w:type="pct"/>
            <w:tcBorders>
              <w:top w:val="single" w:sz="4" w:space="0" w:color="auto"/>
              <w:bottom w:val="single" w:sz="4" w:space="0" w:color="auto"/>
            </w:tcBorders>
            <w:shd w:val="clear" w:color="auto" w:fill="auto"/>
            <w:vAlign w:val="center"/>
          </w:tcPr>
          <w:p w14:paraId="6E773198"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 </w:t>
            </w:r>
          </w:p>
        </w:tc>
        <w:tc>
          <w:tcPr>
            <w:tcW w:w="471" w:type="pct"/>
            <w:tcBorders>
              <w:top w:val="single" w:sz="4" w:space="0" w:color="auto"/>
              <w:bottom w:val="single" w:sz="4" w:space="0" w:color="auto"/>
            </w:tcBorders>
            <w:shd w:val="clear" w:color="auto" w:fill="auto"/>
            <w:vAlign w:val="center"/>
          </w:tcPr>
          <w:p w14:paraId="6DB67732"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color w:val="000000"/>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7 </w:t>
            </w:r>
          </w:p>
        </w:tc>
      </w:tr>
      <w:tr w:rsidR="003F2E7C" w:rsidRPr="00E96905" w14:paraId="2F3CD617" w14:textId="77777777" w:rsidTr="00206464">
        <w:trPr>
          <w:trHeight w:val="20"/>
        </w:trPr>
        <w:tc>
          <w:tcPr>
            <w:tcW w:w="1674" w:type="pct"/>
            <w:tcBorders>
              <w:top w:val="single" w:sz="4" w:space="0" w:color="auto"/>
              <w:bottom w:val="single" w:sz="12" w:space="0" w:color="auto"/>
            </w:tcBorders>
            <w:shd w:val="clear" w:color="auto" w:fill="auto"/>
            <w:vAlign w:val="bottom"/>
            <w:hideMark/>
          </w:tcPr>
          <w:p w14:paraId="1F146043"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spacing w:val="0"/>
                <w:w w:val="100"/>
                <w:kern w:val="0"/>
                <w:sz w:val="17"/>
                <w:szCs w:val="17"/>
                <w:lang w:val="en-US" w:eastAsia="zh-CN"/>
              </w:rPr>
            </w:pPr>
            <w:r w:rsidRPr="00E96905">
              <w:rPr>
                <w:rFonts w:eastAsia="Times New Roman"/>
                <w:b/>
                <w:bCs/>
                <w:color w:val="000000"/>
                <w:spacing w:val="0"/>
                <w:w w:val="100"/>
                <w:kern w:val="0"/>
                <w:sz w:val="17"/>
                <w:szCs w:val="17"/>
                <w:lang w:val="en-US" w:eastAsia="zh-CN"/>
              </w:rPr>
              <w:tab/>
              <w:t>Subtotal, 1</w:t>
            </w:r>
          </w:p>
        </w:tc>
        <w:tc>
          <w:tcPr>
            <w:tcW w:w="550" w:type="pct"/>
            <w:tcBorders>
              <w:top w:val="single" w:sz="4" w:space="0" w:color="auto"/>
              <w:bottom w:val="single" w:sz="12" w:space="0" w:color="auto"/>
            </w:tcBorders>
            <w:shd w:val="clear" w:color="auto" w:fill="auto"/>
            <w:vAlign w:val="center"/>
          </w:tcPr>
          <w:p w14:paraId="6BBD9C64"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75 </w:t>
            </w:r>
          </w:p>
        </w:tc>
        <w:tc>
          <w:tcPr>
            <w:tcW w:w="576" w:type="pct"/>
            <w:tcBorders>
              <w:top w:val="single" w:sz="4" w:space="0" w:color="auto"/>
              <w:bottom w:val="single" w:sz="12" w:space="0" w:color="auto"/>
            </w:tcBorders>
            <w:shd w:val="clear" w:color="auto" w:fill="auto"/>
            <w:vAlign w:val="center"/>
          </w:tcPr>
          <w:p w14:paraId="64258F0E"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 </w:t>
            </w:r>
          </w:p>
        </w:tc>
        <w:tc>
          <w:tcPr>
            <w:tcW w:w="576" w:type="pct"/>
            <w:tcBorders>
              <w:top w:val="single" w:sz="4" w:space="0" w:color="auto"/>
              <w:bottom w:val="single" w:sz="12" w:space="0" w:color="auto"/>
            </w:tcBorders>
            <w:shd w:val="clear" w:color="auto" w:fill="auto"/>
            <w:vAlign w:val="center"/>
          </w:tcPr>
          <w:p w14:paraId="0FEDE721"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 </w:t>
            </w:r>
          </w:p>
        </w:tc>
        <w:tc>
          <w:tcPr>
            <w:tcW w:w="576" w:type="pct"/>
            <w:tcBorders>
              <w:top w:val="single" w:sz="4" w:space="0" w:color="auto"/>
              <w:bottom w:val="single" w:sz="12" w:space="0" w:color="auto"/>
            </w:tcBorders>
            <w:shd w:val="clear" w:color="auto" w:fill="auto"/>
            <w:vAlign w:val="center"/>
          </w:tcPr>
          <w:p w14:paraId="34C884B4"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 </w:t>
            </w:r>
          </w:p>
        </w:tc>
        <w:tc>
          <w:tcPr>
            <w:tcW w:w="576" w:type="pct"/>
            <w:tcBorders>
              <w:top w:val="single" w:sz="4" w:space="0" w:color="auto"/>
              <w:bottom w:val="single" w:sz="12" w:space="0" w:color="auto"/>
            </w:tcBorders>
            <w:shd w:val="clear" w:color="auto" w:fill="auto"/>
            <w:vAlign w:val="center"/>
          </w:tcPr>
          <w:p w14:paraId="0B97AB36"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 </w:t>
            </w:r>
          </w:p>
        </w:tc>
        <w:tc>
          <w:tcPr>
            <w:tcW w:w="471" w:type="pct"/>
            <w:tcBorders>
              <w:top w:val="single" w:sz="4" w:space="0" w:color="auto"/>
              <w:bottom w:val="single" w:sz="12" w:space="0" w:color="auto"/>
            </w:tcBorders>
            <w:shd w:val="clear" w:color="auto" w:fill="auto"/>
            <w:vAlign w:val="center"/>
          </w:tcPr>
          <w:p w14:paraId="548FE479"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75 </w:t>
            </w:r>
          </w:p>
        </w:tc>
      </w:tr>
    </w:tbl>
    <w:p w14:paraId="4BEE0BEB" w14:textId="77777777" w:rsidR="003F2E7C" w:rsidRPr="00E96905" w:rsidRDefault="003F2E7C" w:rsidP="003F2E7C">
      <w:pPr>
        <w:pStyle w:val="SingleTxt"/>
        <w:spacing w:after="0" w:line="120" w:lineRule="exact"/>
        <w:rPr>
          <w:sz w:val="10"/>
        </w:rPr>
      </w:pPr>
    </w:p>
    <w:p w14:paraId="064C0EDE" w14:textId="77777777" w:rsidR="003F2E7C" w:rsidRPr="00E96905" w:rsidRDefault="003F2E7C" w:rsidP="003F2E7C">
      <w:pPr>
        <w:pStyle w:val="SingleTxt"/>
        <w:spacing w:after="0" w:line="120" w:lineRule="exact"/>
        <w:rPr>
          <w:sz w:val="10"/>
        </w:rPr>
      </w:pPr>
    </w:p>
    <w:p w14:paraId="2EE2FB9E" w14:textId="77777777" w:rsidR="003F2E7C" w:rsidRPr="00E96905" w:rsidRDefault="003F2E7C" w:rsidP="003F2E7C">
      <w:pPr>
        <w:pStyle w:val="H4"/>
        <w:ind w:right="1260"/>
      </w:pPr>
      <w:r w:rsidRPr="00E96905">
        <w:tab/>
      </w:r>
      <w:r w:rsidRPr="00A86964">
        <w:rPr>
          <w:i w:val="0"/>
          <w:iCs/>
        </w:rPr>
        <w:t>(2)</w:t>
      </w:r>
      <w:r w:rsidRPr="00E96905">
        <w:t xml:space="preserve"> </w:t>
      </w:r>
      <w:r w:rsidRPr="00E96905">
        <w:tab/>
        <w:t xml:space="preserve">Extrabudgetary </w:t>
      </w:r>
    </w:p>
    <w:p w14:paraId="54DBB33D" w14:textId="77777777" w:rsidR="003F2E7C" w:rsidRPr="00E96905" w:rsidRDefault="003F2E7C" w:rsidP="003F2E7C">
      <w:pPr>
        <w:pStyle w:val="SingleTxt"/>
        <w:spacing w:after="0" w:line="120" w:lineRule="exact"/>
        <w:rPr>
          <w:sz w:val="10"/>
        </w:rPr>
      </w:pPr>
    </w:p>
    <w:p w14:paraId="0B781902" w14:textId="77777777" w:rsidR="003F2E7C" w:rsidRPr="00E96905" w:rsidRDefault="003F2E7C" w:rsidP="003F2E7C">
      <w:pPr>
        <w:pStyle w:val="SingleTxt"/>
        <w:spacing w:after="0" w:line="120" w:lineRule="exact"/>
        <w:rPr>
          <w:sz w:val="10"/>
        </w:rPr>
      </w:pPr>
    </w:p>
    <w:tbl>
      <w:tblPr>
        <w:tblW w:w="9819" w:type="dxa"/>
        <w:tblCellMar>
          <w:left w:w="0" w:type="dxa"/>
          <w:right w:w="0" w:type="dxa"/>
        </w:tblCellMar>
        <w:tblLook w:val="04A0" w:firstRow="1" w:lastRow="0" w:firstColumn="1" w:lastColumn="0" w:noHBand="0" w:noVBand="1"/>
      </w:tblPr>
      <w:tblGrid>
        <w:gridCol w:w="3294"/>
        <w:gridCol w:w="1098"/>
        <w:gridCol w:w="1125"/>
        <w:gridCol w:w="1152"/>
        <w:gridCol w:w="1116"/>
        <w:gridCol w:w="1107"/>
        <w:gridCol w:w="927"/>
      </w:tblGrid>
      <w:tr w:rsidR="003F2E7C" w:rsidRPr="00E96905" w14:paraId="0EA19573" w14:textId="77777777" w:rsidTr="00EF5A7F">
        <w:trPr>
          <w:trHeight w:val="125"/>
          <w:tblHeader/>
        </w:trPr>
        <w:tc>
          <w:tcPr>
            <w:tcW w:w="3294" w:type="dxa"/>
            <w:tcBorders>
              <w:top w:val="single" w:sz="4" w:space="0" w:color="auto"/>
              <w:bottom w:val="single" w:sz="12" w:space="0" w:color="auto"/>
            </w:tcBorders>
            <w:shd w:val="clear" w:color="auto" w:fill="auto"/>
            <w:vAlign w:val="bottom"/>
            <w:hideMark/>
          </w:tcPr>
          <w:p w14:paraId="19642025" w14:textId="77777777" w:rsidR="003F2E7C" w:rsidRPr="00E96905" w:rsidRDefault="003F2E7C" w:rsidP="00206464">
            <w:pPr>
              <w:spacing w:before="81" w:after="81" w:line="160" w:lineRule="exact"/>
              <w:ind w:right="40"/>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Component/subprogramme</w:t>
            </w:r>
          </w:p>
        </w:tc>
        <w:tc>
          <w:tcPr>
            <w:tcW w:w="1098" w:type="dxa"/>
            <w:tcBorders>
              <w:top w:val="single" w:sz="4" w:space="0" w:color="auto"/>
              <w:bottom w:val="single" w:sz="12" w:space="0" w:color="auto"/>
            </w:tcBorders>
            <w:shd w:val="clear" w:color="auto" w:fill="auto"/>
            <w:vAlign w:val="bottom"/>
            <w:hideMark/>
          </w:tcPr>
          <w:p w14:paraId="3131EAAF" w14:textId="12C3F0A2" w:rsidR="003F2E7C" w:rsidRPr="00E96905" w:rsidRDefault="003F2E7C" w:rsidP="00206464">
            <w:pPr>
              <w:spacing w:before="81" w:after="81" w:line="160" w:lineRule="exact"/>
              <w:ind w:left="144" w:right="40"/>
              <w:jc w:val="right"/>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2021 estimate</w:t>
            </w:r>
          </w:p>
        </w:tc>
        <w:tc>
          <w:tcPr>
            <w:tcW w:w="1125" w:type="dxa"/>
            <w:tcBorders>
              <w:top w:val="single" w:sz="4" w:space="0" w:color="auto"/>
              <w:bottom w:val="single" w:sz="12" w:space="0" w:color="auto"/>
            </w:tcBorders>
            <w:shd w:val="clear" w:color="auto" w:fill="auto"/>
            <w:vAlign w:val="bottom"/>
          </w:tcPr>
          <w:p w14:paraId="6304FABD" w14:textId="77777777" w:rsidR="003F2E7C" w:rsidRPr="00E96905" w:rsidRDefault="003F2E7C" w:rsidP="00206464">
            <w:pPr>
              <w:spacing w:before="81" w:after="81" w:line="160" w:lineRule="exact"/>
              <w:ind w:left="144" w:right="40"/>
              <w:jc w:val="right"/>
              <w:rPr>
                <w:rFonts w:eastAsia="Times New Roman"/>
                <w:i/>
                <w:iCs/>
                <w:color w:val="000000" w:themeColor="text1"/>
                <w:spacing w:val="0"/>
                <w:w w:val="100"/>
                <w:kern w:val="0"/>
                <w:sz w:val="14"/>
                <w:szCs w:val="17"/>
                <w:lang w:val="en-US" w:eastAsia="zh-CN"/>
              </w:rPr>
            </w:pPr>
          </w:p>
        </w:tc>
        <w:tc>
          <w:tcPr>
            <w:tcW w:w="1152" w:type="dxa"/>
            <w:tcBorders>
              <w:top w:val="single" w:sz="4" w:space="0" w:color="auto"/>
              <w:bottom w:val="single" w:sz="12" w:space="0" w:color="auto"/>
            </w:tcBorders>
            <w:shd w:val="clear" w:color="auto" w:fill="auto"/>
            <w:vAlign w:val="bottom"/>
          </w:tcPr>
          <w:p w14:paraId="51140338" w14:textId="77777777" w:rsidR="003F2E7C" w:rsidRPr="00E96905" w:rsidRDefault="003F2E7C" w:rsidP="00206464">
            <w:pPr>
              <w:spacing w:before="81" w:after="81" w:line="160" w:lineRule="exact"/>
              <w:ind w:left="144" w:right="40"/>
              <w:jc w:val="right"/>
              <w:rPr>
                <w:rFonts w:eastAsia="Times New Roman"/>
                <w:i/>
                <w:iCs/>
                <w:color w:val="000000" w:themeColor="text1"/>
                <w:spacing w:val="0"/>
                <w:w w:val="100"/>
                <w:kern w:val="0"/>
                <w:sz w:val="14"/>
                <w:szCs w:val="17"/>
                <w:lang w:val="en-US" w:eastAsia="zh-CN"/>
              </w:rPr>
            </w:pPr>
          </w:p>
        </w:tc>
        <w:tc>
          <w:tcPr>
            <w:tcW w:w="1116" w:type="dxa"/>
            <w:tcBorders>
              <w:top w:val="single" w:sz="4" w:space="0" w:color="auto"/>
              <w:bottom w:val="single" w:sz="12" w:space="0" w:color="auto"/>
            </w:tcBorders>
            <w:shd w:val="clear" w:color="auto" w:fill="auto"/>
            <w:vAlign w:val="bottom"/>
          </w:tcPr>
          <w:p w14:paraId="07CC5E07" w14:textId="77777777" w:rsidR="003F2E7C" w:rsidRPr="00E96905" w:rsidRDefault="003F2E7C" w:rsidP="00206464">
            <w:pPr>
              <w:spacing w:before="81" w:after="81" w:line="160" w:lineRule="exact"/>
              <w:ind w:left="144" w:right="40"/>
              <w:jc w:val="right"/>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Change</w:t>
            </w:r>
          </w:p>
        </w:tc>
        <w:tc>
          <w:tcPr>
            <w:tcW w:w="1107" w:type="dxa"/>
            <w:tcBorders>
              <w:top w:val="single" w:sz="4" w:space="0" w:color="auto"/>
              <w:bottom w:val="single" w:sz="12" w:space="0" w:color="auto"/>
            </w:tcBorders>
            <w:shd w:val="clear" w:color="auto" w:fill="auto"/>
            <w:vAlign w:val="bottom"/>
          </w:tcPr>
          <w:p w14:paraId="463FEE7C" w14:textId="77777777" w:rsidR="003F2E7C" w:rsidRPr="00E96905" w:rsidRDefault="003F2E7C" w:rsidP="00206464">
            <w:pPr>
              <w:spacing w:before="81" w:after="81" w:line="160" w:lineRule="exact"/>
              <w:ind w:left="144" w:right="40"/>
              <w:jc w:val="right"/>
              <w:rPr>
                <w:rFonts w:eastAsia="Times New Roman"/>
                <w:i/>
                <w:iCs/>
                <w:color w:val="000000" w:themeColor="text1"/>
                <w:spacing w:val="0"/>
                <w:w w:val="100"/>
                <w:kern w:val="0"/>
                <w:sz w:val="14"/>
                <w:szCs w:val="17"/>
                <w:lang w:val="en-US" w:eastAsia="zh-CN"/>
              </w:rPr>
            </w:pPr>
          </w:p>
        </w:tc>
        <w:tc>
          <w:tcPr>
            <w:tcW w:w="927" w:type="dxa"/>
            <w:tcBorders>
              <w:top w:val="single" w:sz="4" w:space="0" w:color="auto"/>
              <w:bottom w:val="single" w:sz="12" w:space="0" w:color="auto"/>
            </w:tcBorders>
            <w:shd w:val="clear" w:color="auto" w:fill="auto"/>
            <w:vAlign w:val="bottom"/>
            <w:hideMark/>
          </w:tcPr>
          <w:p w14:paraId="1DACF0E0" w14:textId="74443D7E" w:rsidR="003F2E7C" w:rsidRPr="00E96905" w:rsidRDefault="003F2E7C" w:rsidP="00206464">
            <w:pPr>
              <w:spacing w:before="81" w:after="81" w:line="160" w:lineRule="exact"/>
              <w:ind w:left="144" w:right="40"/>
              <w:jc w:val="right"/>
              <w:rPr>
                <w:rFonts w:eastAsia="Times New Roman"/>
                <w:i/>
                <w:iCs/>
                <w:color w:val="000000" w:themeColor="text1"/>
                <w:spacing w:val="0"/>
                <w:w w:val="100"/>
                <w:kern w:val="0"/>
                <w:sz w:val="14"/>
                <w:szCs w:val="17"/>
                <w:lang w:val="en-US" w:eastAsia="zh-CN"/>
              </w:rPr>
            </w:pPr>
            <w:r w:rsidRPr="00E96905">
              <w:rPr>
                <w:rFonts w:eastAsia="Times New Roman"/>
                <w:i/>
                <w:iCs/>
                <w:color w:val="000000" w:themeColor="text1"/>
                <w:spacing w:val="0"/>
                <w:w w:val="100"/>
                <w:kern w:val="0"/>
                <w:sz w:val="14"/>
                <w:szCs w:val="17"/>
                <w:lang w:val="en-US" w:eastAsia="zh-CN"/>
              </w:rPr>
              <w:t>2022</w:t>
            </w:r>
            <w:r w:rsidR="00EF5A7F">
              <w:rPr>
                <w:rFonts w:eastAsia="Times New Roman"/>
                <w:i/>
                <w:iCs/>
                <w:color w:val="000000" w:themeColor="text1"/>
                <w:spacing w:val="0"/>
                <w:w w:val="100"/>
                <w:kern w:val="0"/>
                <w:sz w:val="14"/>
                <w:szCs w:val="17"/>
                <w:lang w:val="en-US" w:eastAsia="zh-CN"/>
              </w:rPr>
              <w:t xml:space="preserve"> </w:t>
            </w:r>
            <w:r w:rsidRPr="00E96905">
              <w:rPr>
                <w:rFonts w:eastAsia="Times New Roman"/>
                <w:i/>
                <w:iCs/>
                <w:color w:val="000000" w:themeColor="text1"/>
                <w:spacing w:val="0"/>
                <w:w w:val="100"/>
                <w:kern w:val="0"/>
                <w:sz w:val="14"/>
                <w:szCs w:val="17"/>
                <w:lang w:val="en-US" w:eastAsia="zh-CN"/>
              </w:rPr>
              <w:t>estimate</w:t>
            </w:r>
          </w:p>
        </w:tc>
      </w:tr>
      <w:tr w:rsidR="003F2E7C" w:rsidRPr="00E96905" w14:paraId="47D1AB95" w14:textId="77777777" w:rsidTr="00206464">
        <w:trPr>
          <w:trHeight w:hRule="exact" w:val="115"/>
          <w:tblHeader/>
        </w:trPr>
        <w:tc>
          <w:tcPr>
            <w:tcW w:w="3294" w:type="dxa"/>
            <w:tcBorders>
              <w:top w:val="single" w:sz="12" w:space="0" w:color="auto"/>
            </w:tcBorders>
            <w:shd w:val="clear" w:color="auto" w:fill="auto"/>
            <w:vAlign w:val="bottom"/>
          </w:tcPr>
          <w:p w14:paraId="67EF089C" w14:textId="77777777" w:rsidR="003F2E7C" w:rsidRPr="00E96905" w:rsidRDefault="003F2E7C" w:rsidP="00206464">
            <w:pPr>
              <w:spacing w:before="40" w:after="40" w:line="210" w:lineRule="exact"/>
              <w:ind w:right="40"/>
              <w:rPr>
                <w:rFonts w:eastAsia="Times New Roman"/>
                <w:color w:val="000000" w:themeColor="text1"/>
                <w:spacing w:val="0"/>
                <w:w w:val="100"/>
                <w:kern w:val="0"/>
                <w:sz w:val="17"/>
                <w:szCs w:val="17"/>
                <w:lang w:eastAsia="zh-CN"/>
              </w:rPr>
            </w:pPr>
          </w:p>
        </w:tc>
        <w:tc>
          <w:tcPr>
            <w:tcW w:w="1098" w:type="dxa"/>
            <w:tcBorders>
              <w:top w:val="single" w:sz="12" w:space="0" w:color="auto"/>
            </w:tcBorders>
            <w:shd w:val="clear" w:color="auto" w:fill="auto"/>
            <w:vAlign w:val="bottom"/>
          </w:tcPr>
          <w:p w14:paraId="582A2C7A"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25" w:type="dxa"/>
            <w:tcBorders>
              <w:top w:val="single" w:sz="12" w:space="0" w:color="auto"/>
            </w:tcBorders>
            <w:shd w:val="clear" w:color="auto" w:fill="auto"/>
            <w:vAlign w:val="bottom"/>
          </w:tcPr>
          <w:p w14:paraId="64F91C0F"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52" w:type="dxa"/>
            <w:tcBorders>
              <w:top w:val="single" w:sz="12" w:space="0" w:color="auto"/>
            </w:tcBorders>
            <w:shd w:val="clear" w:color="auto" w:fill="auto"/>
            <w:vAlign w:val="bottom"/>
          </w:tcPr>
          <w:p w14:paraId="43B66030"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16" w:type="dxa"/>
            <w:tcBorders>
              <w:top w:val="single" w:sz="12" w:space="0" w:color="auto"/>
            </w:tcBorders>
            <w:shd w:val="clear" w:color="auto" w:fill="auto"/>
            <w:vAlign w:val="bottom"/>
          </w:tcPr>
          <w:p w14:paraId="4694EB20"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07" w:type="dxa"/>
            <w:tcBorders>
              <w:top w:val="single" w:sz="12" w:space="0" w:color="auto"/>
            </w:tcBorders>
            <w:shd w:val="clear" w:color="auto" w:fill="auto"/>
            <w:vAlign w:val="bottom"/>
          </w:tcPr>
          <w:p w14:paraId="5A0D14B9"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27" w:type="dxa"/>
            <w:tcBorders>
              <w:top w:val="single" w:sz="12" w:space="0" w:color="auto"/>
            </w:tcBorders>
            <w:shd w:val="clear" w:color="auto" w:fill="auto"/>
            <w:vAlign w:val="bottom"/>
          </w:tcPr>
          <w:p w14:paraId="42E0DED7" w14:textId="77777777" w:rsidR="003F2E7C" w:rsidRPr="00E96905" w:rsidRDefault="003F2E7C" w:rsidP="00206464">
            <w:pPr>
              <w:spacing w:before="40" w:after="40" w:line="210" w:lineRule="exact"/>
              <w:ind w:left="144" w:right="40"/>
              <w:jc w:val="right"/>
              <w:rPr>
                <w:rFonts w:eastAsia="Times New Roman"/>
                <w:color w:val="000000" w:themeColor="text1"/>
                <w:spacing w:val="0"/>
                <w:w w:val="100"/>
                <w:kern w:val="0"/>
                <w:sz w:val="17"/>
                <w:szCs w:val="17"/>
                <w:lang w:val="en-US" w:eastAsia="zh-CN"/>
              </w:rPr>
            </w:pPr>
          </w:p>
        </w:tc>
      </w:tr>
      <w:tr w:rsidR="003F2E7C" w:rsidRPr="00E96905" w14:paraId="20065E59" w14:textId="77777777" w:rsidTr="00206464">
        <w:trPr>
          <w:trHeight w:val="227"/>
        </w:trPr>
        <w:tc>
          <w:tcPr>
            <w:tcW w:w="3294" w:type="dxa"/>
            <w:shd w:val="clear" w:color="auto" w:fill="auto"/>
            <w:vAlign w:val="bottom"/>
            <w:hideMark/>
          </w:tcPr>
          <w:p w14:paraId="51B045ED"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themeColor="text1"/>
                <w:spacing w:val="0"/>
                <w:w w:val="100"/>
                <w:kern w:val="0"/>
                <w:sz w:val="17"/>
                <w:szCs w:val="17"/>
                <w:lang w:eastAsia="zh-CN"/>
              </w:rPr>
            </w:pPr>
            <w:r w:rsidRPr="00E96905">
              <w:rPr>
                <w:rFonts w:eastAsia="Times New Roman"/>
                <w:color w:val="000000" w:themeColor="text1"/>
                <w:spacing w:val="0"/>
                <w:w w:val="100"/>
                <w:kern w:val="0"/>
                <w:sz w:val="17"/>
                <w:szCs w:val="17"/>
                <w:lang w:eastAsia="zh-CN"/>
              </w:rPr>
              <w:t>A</w:t>
            </w:r>
            <w:r>
              <w:rPr>
                <w:rFonts w:eastAsia="Times New Roman"/>
                <w:color w:val="000000" w:themeColor="text1"/>
                <w:spacing w:val="0"/>
                <w:w w:val="100"/>
                <w:kern w:val="0"/>
                <w:sz w:val="17"/>
                <w:szCs w:val="17"/>
                <w:lang w:eastAsia="zh-CN"/>
              </w:rPr>
              <w:t>.</w:t>
            </w:r>
            <w:r w:rsidRPr="00E96905">
              <w:rPr>
                <w:rFonts w:eastAsia="Times New Roman"/>
                <w:color w:val="000000" w:themeColor="text1"/>
                <w:spacing w:val="0"/>
                <w:w w:val="100"/>
                <w:kern w:val="0"/>
                <w:sz w:val="17"/>
                <w:szCs w:val="17"/>
                <w:lang w:eastAsia="zh-CN"/>
              </w:rPr>
              <w:tab/>
              <w:t xml:space="preserve">Policymaking organs </w:t>
            </w:r>
          </w:p>
        </w:tc>
        <w:tc>
          <w:tcPr>
            <w:tcW w:w="1098" w:type="dxa"/>
            <w:shd w:val="clear" w:color="auto" w:fill="auto"/>
            <w:vAlign w:val="bottom"/>
            <w:hideMark/>
          </w:tcPr>
          <w:p w14:paraId="727763EB"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 </w:t>
            </w:r>
          </w:p>
        </w:tc>
        <w:tc>
          <w:tcPr>
            <w:tcW w:w="1125" w:type="dxa"/>
            <w:shd w:val="clear" w:color="auto" w:fill="auto"/>
            <w:vAlign w:val="bottom"/>
          </w:tcPr>
          <w:p w14:paraId="694131DE"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52" w:type="dxa"/>
            <w:shd w:val="clear" w:color="auto" w:fill="auto"/>
            <w:vAlign w:val="bottom"/>
          </w:tcPr>
          <w:p w14:paraId="0523097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16" w:type="dxa"/>
            <w:shd w:val="clear" w:color="auto" w:fill="auto"/>
            <w:vAlign w:val="bottom"/>
          </w:tcPr>
          <w:p w14:paraId="2C2EB85A"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Pr>
                <w:rFonts w:eastAsia="Times New Roman"/>
                <w:color w:val="000000" w:themeColor="text1"/>
                <w:spacing w:val="0"/>
                <w:w w:val="100"/>
                <w:kern w:val="0"/>
                <w:sz w:val="17"/>
                <w:szCs w:val="17"/>
                <w:lang w:val="en-US" w:eastAsia="zh-CN"/>
              </w:rPr>
              <w:t>–</w:t>
            </w:r>
          </w:p>
        </w:tc>
        <w:tc>
          <w:tcPr>
            <w:tcW w:w="1107" w:type="dxa"/>
            <w:shd w:val="clear" w:color="auto" w:fill="auto"/>
            <w:vAlign w:val="bottom"/>
          </w:tcPr>
          <w:p w14:paraId="17632F4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27" w:type="dxa"/>
            <w:shd w:val="clear" w:color="auto" w:fill="auto"/>
            <w:vAlign w:val="bottom"/>
            <w:hideMark/>
          </w:tcPr>
          <w:p w14:paraId="5319CE2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 </w:t>
            </w:r>
          </w:p>
        </w:tc>
      </w:tr>
      <w:tr w:rsidR="003F2E7C" w:rsidRPr="00E96905" w14:paraId="31D6E617" w14:textId="77777777" w:rsidTr="00206464">
        <w:trPr>
          <w:trHeight w:val="227"/>
        </w:trPr>
        <w:tc>
          <w:tcPr>
            <w:tcW w:w="3294" w:type="dxa"/>
            <w:shd w:val="clear" w:color="auto" w:fill="auto"/>
            <w:vAlign w:val="bottom"/>
            <w:hideMark/>
          </w:tcPr>
          <w:p w14:paraId="2F5E4E4E"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themeColor="text1"/>
                <w:spacing w:val="0"/>
                <w:w w:val="100"/>
                <w:kern w:val="0"/>
                <w:sz w:val="17"/>
                <w:szCs w:val="17"/>
                <w:lang w:eastAsia="zh-CN"/>
              </w:rPr>
            </w:pPr>
            <w:r w:rsidRPr="00E96905">
              <w:rPr>
                <w:rFonts w:eastAsia="Times New Roman"/>
                <w:color w:val="000000" w:themeColor="text1"/>
                <w:spacing w:val="0"/>
                <w:w w:val="100"/>
                <w:kern w:val="0"/>
                <w:sz w:val="17"/>
                <w:szCs w:val="17"/>
                <w:lang w:eastAsia="zh-CN"/>
              </w:rPr>
              <w:t>B.</w:t>
            </w:r>
            <w:r w:rsidRPr="00E96905">
              <w:rPr>
                <w:rFonts w:eastAsia="Times New Roman"/>
                <w:color w:val="000000" w:themeColor="text1"/>
                <w:spacing w:val="0"/>
                <w:w w:val="100"/>
                <w:kern w:val="0"/>
                <w:sz w:val="17"/>
                <w:szCs w:val="17"/>
                <w:lang w:eastAsia="zh-CN"/>
              </w:rPr>
              <w:tab/>
              <w:t xml:space="preserve">Executive direction and management </w:t>
            </w:r>
          </w:p>
        </w:tc>
        <w:tc>
          <w:tcPr>
            <w:tcW w:w="1098" w:type="dxa"/>
            <w:shd w:val="clear" w:color="auto" w:fill="auto"/>
            <w:vAlign w:val="bottom"/>
            <w:hideMark/>
          </w:tcPr>
          <w:p w14:paraId="4FEED53C"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21 </w:t>
            </w:r>
          </w:p>
        </w:tc>
        <w:tc>
          <w:tcPr>
            <w:tcW w:w="1125" w:type="dxa"/>
            <w:shd w:val="clear" w:color="auto" w:fill="auto"/>
            <w:vAlign w:val="bottom"/>
          </w:tcPr>
          <w:p w14:paraId="187742E7"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52" w:type="dxa"/>
            <w:shd w:val="clear" w:color="auto" w:fill="auto"/>
            <w:vAlign w:val="bottom"/>
          </w:tcPr>
          <w:p w14:paraId="324E652C"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16" w:type="dxa"/>
            <w:shd w:val="clear" w:color="auto" w:fill="auto"/>
            <w:vAlign w:val="bottom"/>
          </w:tcPr>
          <w:p w14:paraId="048C06E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7</w:t>
            </w:r>
          </w:p>
        </w:tc>
        <w:tc>
          <w:tcPr>
            <w:tcW w:w="1107" w:type="dxa"/>
            <w:shd w:val="clear" w:color="auto" w:fill="auto"/>
            <w:vAlign w:val="bottom"/>
          </w:tcPr>
          <w:p w14:paraId="0AF09A9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27" w:type="dxa"/>
            <w:shd w:val="clear" w:color="auto" w:fill="auto"/>
            <w:vAlign w:val="bottom"/>
            <w:hideMark/>
          </w:tcPr>
          <w:p w14:paraId="4B66625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28 </w:t>
            </w:r>
          </w:p>
        </w:tc>
      </w:tr>
      <w:tr w:rsidR="003F2E7C" w:rsidRPr="00E96905" w14:paraId="46059981" w14:textId="77777777" w:rsidTr="00206464">
        <w:trPr>
          <w:trHeight w:val="227"/>
        </w:trPr>
        <w:tc>
          <w:tcPr>
            <w:tcW w:w="3294" w:type="dxa"/>
            <w:shd w:val="clear" w:color="auto" w:fill="auto"/>
            <w:vAlign w:val="bottom"/>
            <w:hideMark/>
          </w:tcPr>
          <w:p w14:paraId="1C45D554"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themeColor="text1"/>
                <w:spacing w:val="0"/>
                <w:w w:val="100"/>
                <w:kern w:val="0"/>
                <w:sz w:val="17"/>
                <w:szCs w:val="17"/>
                <w:lang w:eastAsia="zh-CN"/>
              </w:rPr>
            </w:pPr>
            <w:r w:rsidRPr="00E96905">
              <w:rPr>
                <w:rFonts w:eastAsia="Times New Roman"/>
                <w:color w:val="000000" w:themeColor="text1"/>
                <w:spacing w:val="0"/>
                <w:w w:val="100"/>
                <w:kern w:val="0"/>
                <w:sz w:val="17"/>
                <w:szCs w:val="17"/>
                <w:lang w:eastAsia="zh-CN"/>
              </w:rPr>
              <w:t>C.</w:t>
            </w:r>
            <w:r w:rsidRPr="00E96905">
              <w:rPr>
                <w:rFonts w:eastAsia="Times New Roman"/>
                <w:color w:val="000000" w:themeColor="text1"/>
                <w:spacing w:val="0"/>
                <w:w w:val="100"/>
                <w:kern w:val="0"/>
                <w:sz w:val="17"/>
                <w:szCs w:val="17"/>
                <w:lang w:eastAsia="zh-CN"/>
              </w:rPr>
              <w:tab/>
              <w:t>Programme of work</w:t>
            </w:r>
            <w:r>
              <w:rPr>
                <w:rFonts w:eastAsia="Times New Roman"/>
                <w:color w:val="000000" w:themeColor="text1"/>
                <w:spacing w:val="0"/>
                <w:w w:val="100"/>
                <w:kern w:val="0"/>
                <w:sz w:val="17"/>
                <w:szCs w:val="17"/>
                <w:lang w:eastAsia="zh-CN"/>
              </w:rPr>
              <w:t xml:space="preserve"> </w:t>
            </w:r>
          </w:p>
        </w:tc>
        <w:tc>
          <w:tcPr>
            <w:tcW w:w="1098" w:type="dxa"/>
            <w:shd w:val="clear" w:color="auto" w:fill="auto"/>
            <w:vAlign w:val="bottom"/>
            <w:hideMark/>
          </w:tcPr>
          <w:p w14:paraId="3E15AA3E"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w:t>
            </w:r>
          </w:p>
        </w:tc>
        <w:tc>
          <w:tcPr>
            <w:tcW w:w="1125" w:type="dxa"/>
            <w:shd w:val="clear" w:color="auto" w:fill="auto"/>
            <w:vAlign w:val="bottom"/>
          </w:tcPr>
          <w:p w14:paraId="6030E53D"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52" w:type="dxa"/>
            <w:shd w:val="clear" w:color="auto" w:fill="auto"/>
            <w:vAlign w:val="bottom"/>
          </w:tcPr>
          <w:p w14:paraId="4ED73165"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16" w:type="dxa"/>
            <w:shd w:val="clear" w:color="auto" w:fill="auto"/>
            <w:vAlign w:val="bottom"/>
          </w:tcPr>
          <w:p w14:paraId="308EE08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07" w:type="dxa"/>
            <w:shd w:val="clear" w:color="auto" w:fill="auto"/>
            <w:vAlign w:val="bottom"/>
          </w:tcPr>
          <w:p w14:paraId="7448B05F"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27" w:type="dxa"/>
            <w:shd w:val="clear" w:color="auto" w:fill="auto"/>
            <w:vAlign w:val="bottom"/>
            <w:hideMark/>
          </w:tcPr>
          <w:p w14:paraId="23A32D17"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w:t>
            </w:r>
          </w:p>
        </w:tc>
      </w:tr>
      <w:tr w:rsidR="003F2E7C" w:rsidRPr="00E96905" w14:paraId="418A688C" w14:textId="77777777" w:rsidTr="00206464">
        <w:trPr>
          <w:trHeight w:val="227"/>
        </w:trPr>
        <w:tc>
          <w:tcPr>
            <w:tcW w:w="3294" w:type="dxa"/>
            <w:shd w:val="clear" w:color="auto" w:fill="auto"/>
            <w:vAlign w:val="bottom"/>
          </w:tcPr>
          <w:p w14:paraId="5FDED502" w14:textId="77777777" w:rsidR="003F2E7C" w:rsidRPr="00E96905" w:rsidRDefault="003F2E7C" w:rsidP="00206464">
            <w:pPr>
              <w:tabs>
                <w:tab w:val="left" w:pos="288"/>
                <w:tab w:val="left" w:pos="576"/>
                <w:tab w:val="left" w:pos="864"/>
                <w:tab w:val="left" w:pos="1152"/>
              </w:tabs>
              <w:spacing w:before="40" w:after="40" w:line="210" w:lineRule="exact"/>
              <w:ind w:left="576" w:right="40" w:hanging="576"/>
              <w:rPr>
                <w:rFonts w:eastAsia="Times New Roman"/>
                <w:color w:val="000000" w:themeColor="text1"/>
                <w:spacing w:val="0"/>
                <w:w w:val="100"/>
                <w:kern w:val="0"/>
                <w:sz w:val="17"/>
                <w:szCs w:val="17"/>
                <w:lang w:eastAsia="zh-CN"/>
              </w:rPr>
            </w:pPr>
            <w:r w:rsidRPr="00E96905">
              <w:rPr>
                <w:rFonts w:eastAsia="Times New Roman"/>
                <w:color w:val="000000" w:themeColor="text1"/>
                <w:spacing w:val="0"/>
                <w:w w:val="100"/>
                <w:kern w:val="0"/>
                <w:sz w:val="17"/>
                <w:szCs w:val="17"/>
                <w:lang w:eastAsia="zh-CN"/>
              </w:rPr>
              <w:tab/>
              <w:t>1.</w:t>
            </w:r>
            <w:r w:rsidRPr="00E96905">
              <w:rPr>
                <w:rFonts w:eastAsia="Times New Roman"/>
                <w:color w:val="000000" w:themeColor="text1"/>
                <w:spacing w:val="0"/>
                <w:w w:val="100"/>
                <w:kern w:val="0"/>
                <w:sz w:val="17"/>
                <w:szCs w:val="17"/>
                <w:lang w:eastAsia="zh-CN"/>
              </w:rPr>
              <w:tab/>
            </w:r>
            <w:r w:rsidRPr="00E96905">
              <w:rPr>
                <w:rFonts w:eastAsia="Times New Roman"/>
                <w:color w:val="000000" w:themeColor="text1"/>
                <w:spacing w:val="0"/>
                <w:w w:val="100"/>
                <w:kern w:val="0"/>
                <w:sz w:val="17"/>
                <w:szCs w:val="17"/>
                <w:lang w:val="en-US" w:eastAsia="zh-CN"/>
              </w:rPr>
              <w:t>Reduced spatial inequality and</w:t>
            </w:r>
            <w:r>
              <w:rPr>
                <w:rFonts w:eastAsia="Times New Roman"/>
                <w:color w:val="000000" w:themeColor="text1"/>
                <w:spacing w:val="0"/>
                <w:w w:val="100"/>
                <w:kern w:val="0"/>
                <w:sz w:val="17"/>
                <w:szCs w:val="17"/>
                <w:lang w:val="en-US" w:eastAsia="zh-CN"/>
              </w:rPr>
              <w:t xml:space="preserve"> </w:t>
            </w:r>
            <w:r w:rsidRPr="00E96905">
              <w:rPr>
                <w:rFonts w:eastAsia="Times New Roman"/>
                <w:color w:val="000000" w:themeColor="text1"/>
                <w:spacing w:val="0"/>
                <w:w w:val="100"/>
                <w:kern w:val="0"/>
                <w:sz w:val="17"/>
                <w:szCs w:val="17"/>
                <w:lang w:val="en-US" w:eastAsia="zh-CN"/>
              </w:rPr>
              <w:t>poverty in communities across the urban-rural continuum</w:t>
            </w:r>
            <w:r>
              <w:rPr>
                <w:rFonts w:eastAsia="Times New Roman"/>
                <w:color w:val="000000" w:themeColor="text1"/>
                <w:spacing w:val="0"/>
                <w:w w:val="100"/>
                <w:kern w:val="0"/>
                <w:sz w:val="17"/>
                <w:szCs w:val="17"/>
                <w:lang w:val="en-US" w:eastAsia="zh-CN"/>
              </w:rPr>
              <w:t xml:space="preserve"> </w:t>
            </w:r>
          </w:p>
        </w:tc>
        <w:tc>
          <w:tcPr>
            <w:tcW w:w="1098" w:type="dxa"/>
            <w:shd w:val="clear" w:color="auto" w:fill="auto"/>
            <w:vAlign w:val="bottom"/>
          </w:tcPr>
          <w:p w14:paraId="029EA431"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14</w:t>
            </w:r>
          </w:p>
        </w:tc>
        <w:tc>
          <w:tcPr>
            <w:tcW w:w="1125" w:type="dxa"/>
            <w:shd w:val="clear" w:color="auto" w:fill="auto"/>
            <w:vAlign w:val="bottom"/>
          </w:tcPr>
          <w:p w14:paraId="1B0DA5F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52" w:type="dxa"/>
            <w:shd w:val="clear" w:color="auto" w:fill="auto"/>
            <w:vAlign w:val="bottom"/>
          </w:tcPr>
          <w:p w14:paraId="75A40CF4"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16" w:type="dxa"/>
            <w:shd w:val="clear" w:color="auto" w:fill="auto"/>
            <w:vAlign w:val="bottom"/>
          </w:tcPr>
          <w:p w14:paraId="3191EDE5"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(2)</w:t>
            </w:r>
          </w:p>
        </w:tc>
        <w:tc>
          <w:tcPr>
            <w:tcW w:w="1107" w:type="dxa"/>
            <w:shd w:val="clear" w:color="auto" w:fill="auto"/>
            <w:vAlign w:val="bottom"/>
          </w:tcPr>
          <w:p w14:paraId="46602A6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27" w:type="dxa"/>
            <w:shd w:val="clear" w:color="auto" w:fill="auto"/>
            <w:vAlign w:val="bottom"/>
          </w:tcPr>
          <w:p w14:paraId="7247A4CE"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12 </w:t>
            </w:r>
          </w:p>
        </w:tc>
      </w:tr>
      <w:tr w:rsidR="003F2E7C" w:rsidRPr="00E96905" w14:paraId="34B614C1" w14:textId="77777777" w:rsidTr="00206464">
        <w:trPr>
          <w:trHeight w:val="227"/>
        </w:trPr>
        <w:tc>
          <w:tcPr>
            <w:tcW w:w="3294" w:type="dxa"/>
            <w:shd w:val="clear" w:color="auto" w:fill="auto"/>
            <w:vAlign w:val="bottom"/>
          </w:tcPr>
          <w:p w14:paraId="75D9AA7B" w14:textId="77777777" w:rsidR="003F2E7C" w:rsidRPr="00E96905" w:rsidRDefault="003F2E7C" w:rsidP="00206464">
            <w:pPr>
              <w:tabs>
                <w:tab w:val="left" w:pos="288"/>
                <w:tab w:val="left" w:pos="576"/>
                <w:tab w:val="left" w:pos="864"/>
                <w:tab w:val="left" w:pos="1152"/>
              </w:tabs>
              <w:spacing w:before="40" w:after="40" w:line="210" w:lineRule="exact"/>
              <w:ind w:left="576" w:right="40" w:hanging="576"/>
              <w:rPr>
                <w:rFonts w:eastAsia="Times New Roman"/>
                <w:color w:val="000000" w:themeColor="text1"/>
                <w:spacing w:val="0"/>
                <w:w w:val="100"/>
                <w:kern w:val="0"/>
                <w:sz w:val="17"/>
                <w:szCs w:val="17"/>
                <w:lang w:eastAsia="zh-CN"/>
              </w:rPr>
            </w:pPr>
            <w:r w:rsidRPr="00E96905">
              <w:rPr>
                <w:rFonts w:eastAsia="Times New Roman"/>
                <w:color w:val="000000" w:themeColor="text1"/>
                <w:spacing w:val="0"/>
                <w:w w:val="100"/>
                <w:kern w:val="0"/>
                <w:sz w:val="17"/>
                <w:szCs w:val="17"/>
                <w:lang w:val="en-US" w:eastAsia="zh-CN"/>
              </w:rPr>
              <w:tab/>
              <w:t>2.</w:t>
            </w:r>
            <w:r w:rsidRPr="00E96905">
              <w:rPr>
                <w:rFonts w:eastAsia="Times New Roman"/>
                <w:color w:val="000000" w:themeColor="text1"/>
                <w:spacing w:val="0"/>
                <w:w w:val="100"/>
                <w:kern w:val="0"/>
                <w:sz w:val="17"/>
                <w:szCs w:val="17"/>
                <w:lang w:val="en-US" w:eastAsia="zh-CN"/>
              </w:rPr>
              <w:tab/>
              <w:t>Enhanced shared prosperity of cities and regions</w:t>
            </w:r>
          </w:p>
        </w:tc>
        <w:tc>
          <w:tcPr>
            <w:tcW w:w="1098" w:type="dxa"/>
            <w:shd w:val="clear" w:color="auto" w:fill="auto"/>
            <w:vAlign w:val="bottom"/>
          </w:tcPr>
          <w:p w14:paraId="3A6E38E7"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13</w:t>
            </w:r>
          </w:p>
        </w:tc>
        <w:tc>
          <w:tcPr>
            <w:tcW w:w="1125" w:type="dxa"/>
            <w:shd w:val="clear" w:color="auto" w:fill="auto"/>
            <w:vAlign w:val="bottom"/>
          </w:tcPr>
          <w:p w14:paraId="3189D87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52" w:type="dxa"/>
            <w:shd w:val="clear" w:color="auto" w:fill="auto"/>
            <w:vAlign w:val="bottom"/>
          </w:tcPr>
          <w:p w14:paraId="1041882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16" w:type="dxa"/>
            <w:shd w:val="clear" w:color="auto" w:fill="auto"/>
            <w:vAlign w:val="bottom"/>
          </w:tcPr>
          <w:p w14:paraId="3D10E18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w:t>
            </w:r>
          </w:p>
        </w:tc>
        <w:tc>
          <w:tcPr>
            <w:tcW w:w="1107" w:type="dxa"/>
            <w:shd w:val="clear" w:color="auto" w:fill="auto"/>
            <w:vAlign w:val="bottom"/>
          </w:tcPr>
          <w:p w14:paraId="4BA831E9"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27" w:type="dxa"/>
            <w:shd w:val="clear" w:color="auto" w:fill="auto"/>
            <w:vAlign w:val="bottom"/>
          </w:tcPr>
          <w:p w14:paraId="0E8F90E3"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12 </w:t>
            </w:r>
          </w:p>
        </w:tc>
      </w:tr>
      <w:tr w:rsidR="003F2E7C" w:rsidRPr="00E96905" w14:paraId="630F9A6B" w14:textId="77777777" w:rsidTr="00206464">
        <w:trPr>
          <w:trHeight w:val="227"/>
        </w:trPr>
        <w:tc>
          <w:tcPr>
            <w:tcW w:w="3294" w:type="dxa"/>
            <w:shd w:val="clear" w:color="auto" w:fill="auto"/>
            <w:vAlign w:val="bottom"/>
          </w:tcPr>
          <w:p w14:paraId="4847041C" w14:textId="77777777" w:rsidR="003F2E7C" w:rsidRPr="00E96905" w:rsidRDefault="003F2E7C" w:rsidP="00206464">
            <w:pPr>
              <w:tabs>
                <w:tab w:val="left" w:pos="288"/>
                <w:tab w:val="left" w:pos="576"/>
                <w:tab w:val="left" w:pos="864"/>
                <w:tab w:val="left" w:pos="1152"/>
              </w:tabs>
              <w:spacing w:before="40" w:after="40" w:line="210" w:lineRule="exact"/>
              <w:ind w:left="576" w:right="40" w:hanging="576"/>
              <w:rPr>
                <w:rFonts w:eastAsia="Times New Roman"/>
                <w:color w:val="000000" w:themeColor="text1"/>
                <w:spacing w:val="0"/>
                <w:w w:val="100"/>
                <w:kern w:val="0"/>
                <w:sz w:val="17"/>
                <w:szCs w:val="17"/>
                <w:lang w:eastAsia="zh-CN"/>
              </w:rPr>
            </w:pPr>
            <w:r w:rsidRPr="00E96905">
              <w:rPr>
                <w:rFonts w:eastAsia="Times New Roman"/>
                <w:color w:val="000000" w:themeColor="text1"/>
                <w:spacing w:val="0"/>
                <w:w w:val="100"/>
                <w:kern w:val="0"/>
                <w:sz w:val="17"/>
                <w:szCs w:val="17"/>
                <w:lang w:eastAsia="zh-CN"/>
              </w:rPr>
              <w:tab/>
              <w:t>3.</w:t>
            </w:r>
            <w:r w:rsidRPr="00E96905">
              <w:rPr>
                <w:rFonts w:eastAsia="Times New Roman"/>
                <w:color w:val="000000" w:themeColor="text1"/>
                <w:spacing w:val="0"/>
                <w:w w:val="100"/>
                <w:kern w:val="0"/>
                <w:sz w:val="17"/>
                <w:szCs w:val="17"/>
                <w:lang w:eastAsia="zh-CN"/>
              </w:rPr>
              <w:tab/>
              <w:t>Strengthened climate action and improved urban environment</w:t>
            </w:r>
          </w:p>
        </w:tc>
        <w:tc>
          <w:tcPr>
            <w:tcW w:w="1098" w:type="dxa"/>
            <w:shd w:val="clear" w:color="auto" w:fill="auto"/>
            <w:vAlign w:val="bottom"/>
          </w:tcPr>
          <w:p w14:paraId="67757166"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15</w:t>
            </w:r>
          </w:p>
        </w:tc>
        <w:tc>
          <w:tcPr>
            <w:tcW w:w="1125" w:type="dxa"/>
            <w:shd w:val="clear" w:color="auto" w:fill="auto"/>
            <w:vAlign w:val="bottom"/>
          </w:tcPr>
          <w:p w14:paraId="1F8C3DFC"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52" w:type="dxa"/>
            <w:shd w:val="clear" w:color="auto" w:fill="auto"/>
            <w:vAlign w:val="bottom"/>
          </w:tcPr>
          <w:p w14:paraId="62329D8C"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1116" w:type="dxa"/>
            <w:shd w:val="clear" w:color="auto" w:fill="auto"/>
            <w:vAlign w:val="bottom"/>
          </w:tcPr>
          <w:p w14:paraId="4AD2FC1E"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4</w:t>
            </w:r>
          </w:p>
        </w:tc>
        <w:tc>
          <w:tcPr>
            <w:tcW w:w="1107" w:type="dxa"/>
            <w:shd w:val="clear" w:color="auto" w:fill="auto"/>
            <w:vAlign w:val="bottom"/>
          </w:tcPr>
          <w:p w14:paraId="1B1EF932"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p>
        </w:tc>
        <w:tc>
          <w:tcPr>
            <w:tcW w:w="927" w:type="dxa"/>
            <w:shd w:val="clear" w:color="auto" w:fill="auto"/>
            <w:vAlign w:val="bottom"/>
          </w:tcPr>
          <w:p w14:paraId="0E4AB508" w14:textId="77777777" w:rsidR="003F2E7C" w:rsidRPr="00E96905" w:rsidRDefault="003F2E7C" w:rsidP="00206464">
            <w:pPr>
              <w:tabs>
                <w:tab w:val="left" w:pos="288"/>
                <w:tab w:val="left" w:pos="576"/>
                <w:tab w:val="left" w:pos="864"/>
                <w:tab w:val="left" w:pos="1152"/>
              </w:tabs>
              <w:spacing w:before="40" w:after="40" w:line="210" w:lineRule="exact"/>
              <w:ind w:left="144" w:right="40"/>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19 </w:t>
            </w:r>
          </w:p>
        </w:tc>
      </w:tr>
      <w:tr w:rsidR="003F2E7C" w:rsidRPr="00E96905" w14:paraId="0F094568" w14:textId="77777777" w:rsidTr="00206464">
        <w:trPr>
          <w:trHeight w:val="227"/>
        </w:trPr>
        <w:tc>
          <w:tcPr>
            <w:tcW w:w="3294" w:type="dxa"/>
            <w:shd w:val="clear" w:color="auto" w:fill="auto"/>
            <w:vAlign w:val="bottom"/>
          </w:tcPr>
          <w:p w14:paraId="68A3E2A5" w14:textId="77777777" w:rsidR="003F2E7C" w:rsidRPr="00E96905" w:rsidRDefault="003F2E7C" w:rsidP="00206464">
            <w:pPr>
              <w:tabs>
                <w:tab w:val="left" w:pos="288"/>
                <w:tab w:val="left" w:pos="576"/>
                <w:tab w:val="left" w:pos="864"/>
                <w:tab w:val="left" w:pos="1152"/>
              </w:tabs>
              <w:spacing w:before="40" w:after="81" w:line="210" w:lineRule="exact"/>
              <w:ind w:left="576" w:right="43" w:hanging="576"/>
              <w:rPr>
                <w:rFonts w:eastAsia="Times New Roman"/>
                <w:color w:val="000000" w:themeColor="text1"/>
                <w:spacing w:val="0"/>
                <w:w w:val="100"/>
                <w:kern w:val="0"/>
                <w:sz w:val="17"/>
                <w:szCs w:val="17"/>
                <w:lang w:eastAsia="zh-CN"/>
              </w:rPr>
            </w:pPr>
            <w:r w:rsidRPr="00E96905">
              <w:rPr>
                <w:rFonts w:eastAsia="Times New Roman"/>
                <w:color w:val="000000" w:themeColor="text1"/>
                <w:spacing w:val="0"/>
                <w:w w:val="100"/>
                <w:kern w:val="0"/>
                <w:sz w:val="17"/>
                <w:szCs w:val="17"/>
                <w:lang w:eastAsia="zh-CN"/>
              </w:rPr>
              <w:tab/>
              <w:t>4.</w:t>
            </w:r>
            <w:r w:rsidRPr="00E96905">
              <w:rPr>
                <w:rFonts w:eastAsia="Times New Roman"/>
                <w:color w:val="000000" w:themeColor="text1"/>
                <w:spacing w:val="0"/>
                <w:w w:val="100"/>
                <w:kern w:val="0"/>
                <w:sz w:val="17"/>
                <w:szCs w:val="17"/>
                <w:lang w:eastAsia="zh-CN"/>
              </w:rPr>
              <w:tab/>
              <w:t>Effective urban crisis prevention and response</w:t>
            </w:r>
          </w:p>
        </w:tc>
        <w:tc>
          <w:tcPr>
            <w:tcW w:w="1098" w:type="dxa"/>
            <w:shd w:val="clear" w:color="auto" w:fill="auto"/>
            <w:vAlign w:val="bottom"/>
          </w:tcPr>
          <w:p w14:paraId="723AC3BB"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13 </w:t>
            </w:r>
          </w:p>
        </w:tc>
        <w:tc>
          <w:tcPr>
            <w:tcW w:w="1125" w:type="dxa"/>
            <w:shd w:val="clear" w:color="auto" w:fill="auto"/>
            <w:vAlign w:val="bottom"/>
          </w:tcPr>
          <w:p w14:paraId="5373DD6F"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p>
        </w:tc>
        <w:tc>
          <w:tcPr>
            <w:tcW w:w="1152" w:type="dxa"/>
            <w:shd w:val="clear" w:color="auto" w:fill="auto"/>
            <w:vAlign w:val="bottom"/>
          </w:tcPr>
          <w:p w14:paraId="1F02D8F2"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p>
        </w:tc>
        <w:tc>
          <w:tcPr>
            <w:tcW w:w="1116" w:type="dxa"/>
            <w:shd w:val="clear" w:color="auto" w:fill="auto"/>
            <w:vAlign w:val="bottom"/>
          </w:tcPr>
          <w:p w14:paraId="4B498BCA"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8</w:t>
            </w:r>
          </w:p>
        </w:tc>
        <w:tc>
          <w:tcPr>
            <w:tcW w:w="1107" w:type="dxa"/>
            <w:shd w:val="clear" w:color="auto" w:fill="auto"/>
            <w:vAlign w:val="bottom"/>
          </w:tcPr>
          <w:p w14:paraId="5F848FFC"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p>
        </w:tc>
        <w:tc>
          <w:tcPr>
            <w:tcW w:w="927" w:type="dxa"/>
            <w:shd w:val="clear" w:color="auto" w:fill="auto"/>
            <w:vAlign w:val="bottom"/>
          </w:tcPr>
          <w:p w14:paraId="7B949AF3" w14:textId="77777777" w:rsidR="003F2E7C" w:rsidRPr="00E96905" w:rsidRDefault="003F2E7C" w:rsidP="00206464">
            <w:pPr>
              <w:tabs>
                <w:tab w:val="left" w:pos="288"/>
                <w:tab w:val="left" w:pos="576"/>
                <w:tab w:val="left" w:pos="864"/>
                <w:tab w:val="left" w:pos="1152"/>
              </w:tabs>
              <w:spacing w:before="40" w:after="81" w:line="210" w:lineRule="exact"/>
              <w:ind w:left="144" w:right="43"/>
              <w:jc w:val="right"/>
              <w:rPr>
                <w:rFonts w:eastAsia="Times New Roman"/>
                <w:color w:val="000000" w:themeColor="text1"/>
                <w:spacing w:val="0"/>
                <w:w w:val="100"/>
                <w:kern w:val="0"/>
                <w:sz w:val="17"/>
                <w:szCs w:val="17"/>
                <w:lang w:val="en-US" w:eastAsia="zh-CN"/>
              </w:rPr>
            </w:pPr>
            <w:r w:rsidRPr="00E96905">
              <w:rPr>
                <w:rFonts w:eastAsia="Times New Roman"/>
                <w:color w:val="000000" w:themeColor="text1"/>
                <w:spacing w:val="0"/>
                <w:w w:val="100"/>
                <w:kern w:val="0"/>
                <w:sz w:val="17"/>
                <w:szCs w:val="17"/>
                <w:lang w:val="en-US" w:eastAsia="zh-CN"/>
              </w:rPr>
              <w:t xml:space="preserve"> 21 </w:t>
            </w:r>
          </w:p>
        </w:tc>
      </w:tr>
      <w:tr w:rsidR="003F2E7C" w:rsidRPr="00E96905" w14:paraId="60D06EC8" w14:textId="77777777" w:rsidTr="00206464">
        <w:trPr>
          <w:trHeight w:val="227"/>
        </w:trPr>
        <w:tc>
          <w:tcPr>
            <w:tcW w:w="3294" w:type="dxa"/>
            <w:tcBorders>
              <w:top w:val="single" w:sz="4" w:space="0" w:color="auto"/>
              <w:bottom w:val="single" w:sz="4" w:space="0" w:color="auto"/>
            </w:tcBorders>
            <w:shd w:val="clear" w:color="auto" w:fill="auto"/>
            <w:vAlign w:val="bottom"/>
            <w:hideMark/>
          </w:tcPr>
          <w:p w14:paraId="71B85443"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eastAsia="zh-CN"/>
              </w:rPr>
              <w:tab/>
              <w:t>Subtotal, C</w:t>
            </w:r>
          </w:p>
        </w:tc>
        <w:tc>
          <w:tcPr>
            <w:tcW w:w="1098" w:type="dxa"/>
            <w:tcBorders>
              <w:top w:val="single" w:sz="4" w:space="0" w:color="auto"/>
              <w:bottom w:val="single" w:sz="4" w:space="0" w:color="auto"/>
            </w:tcBorders>
            <w:shd w:val="clear" w:color="auto" w:fill="auto"/>
            <w:vAlign w:val="bottom"/>
            <w:hideMark/>
          </w:tcPr>
          <w:p w14:paraId="478571FF"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55</w:t>
            </w:r>
          </w:p>
        </w:tc>
        <w:tc>
          <w:tcPr>
            <w:tcW w:w="1125" w:type="dxa"/>
            <w:tcBorders>
              <w:top w:val="single" w:sz="4" w:space="0" w:color="auto"/>
              <w:bottom w:val="single" w:sz="4" w:space="0" w:color="auto"/>
            </w:tcBorders>
            <w:shd w:val="clear" w:color="auto" w:fill="auto"/>
            <w:vAlign w:val="bottom"/>
          </w:tcPr>
          <w:p w14:paraId="65730D97"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1152" w:type="dxa"/>
            <w:tcBorders>
              <w:top w:val="single" w:sz="4" w:space="0" w:color="auto"/>
              <w:bottom w:val="single" w:sz="4" w:space="0" w:color="auto"/>
            </w:tcBorders>
            <w:shd w:val="clear" w:color="auto" w:fill="auto"/>
            <w:vAlign w:val="bottom"/>
          </w:tcPr>
          <w:p w14:paraId="09DD3E6A"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1116" w:type="dxa"/>
            <w:tcBorders>
              <w:top w:val="single" w:sz="4" w:space="0" w:color="auto"/>
              <w:bottom w:val="single" w:sz="4" w:space="0" w:color="auto"/>
            </w:tcBorders>
            <w:shd w:val="clear" w:color="auto" w:fill="auto"/>
            <w:vAlign w:val="bottom"/>
          </w:tcPr>
          <w:p w14:paraId="07B012D9"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9</w:t>
            </w:r>
          </w:p>
        </w:tc>
        <w:tc>
          <w:tcPr>
            <w:tcW w:w="1107" w:type="dxa"/>
            <w:tcBorders>
              <w:top w:val="single" w:sz="4" w:space="0" w:color="auto"/>
              <w:bottom w:val="single" w:sz="4" w:space="0" w:color="auto"/>
            </w:tcBorders>
            <w:shd w:val="clear" w:color="auto" w:fill="auto"/>
            <w:vAlign w:val="bottom"/>
          </w:tcPr>
          <w:p w14:paraId="08CFB400"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927" w:type="dxa"/>
            <w:tcBorders>
              <w:top w:val="single" w:sz="4" w:space="0" w:color="auto"/>
              <w:bottom w:val="single" w:sz="4" w:space="0" w:color="auto"/>
            </w:tcBorders>
            <w:shd w:val="clear" w:color="auto" w:fill="auto"/>
            <w:vAlign w:val="bottom"/>
            <w:hideMark/>
          </w:tcPr>
          <w:p w14:paraId="23391B13"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64 </w:t>
            </w:r>
          </w:p>
        </w:tc>
      </w:tr>
      <w:tr w:rsidR="003F2E7C" w:rsidRPr="00E96905" w14:paraId="47E39211" w14:textId="77777777" w:rsidTr="00206464">
        <w:trPr>
          <w:trHeight w:val="227"/>
        </w:trPr>
        <w:tc>
          <w:tcPr>
            <w:tcW w:w="3294" w:type="dxa"/>
            <w:tcBorders>
              <w:top w:val="single" w:sz="4" w:space="0" w:color="auto"/>
              <w:bottom w:val="single" w:sz="4" w:space="0" w:color="auto"/>
            </w:tcBorders>
            <w:shd w:val="clear" w:color="auto" w:fill="auto"/>
            <w:vAlign w:val="bottom"/>
            <w:hideMark/>
          </w:tcPr>
          <w:p w14:paraId="3736E86A"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Cs/>
                <w:color w:val="000000" w:themeColor="text1"/>
                <w:spacing w:val="0"/>
                <w:w w:val="100"/>
                <w:kern w:val="0"/>
                <w:sz w:val="17"/>
                <w:szCs w:val="17"/>
                <w:lang w:val="en-US" w:eastAsia="zh-CN"/>
              </w:rPr>
            </w:pPr>
            <w:r w:rsidRPr="00E96905">
              <w:rPr>
                <w:rFonts w:eastAsia="Times New Roman"/>
                <w:bCs/>
                <w:color w:val="000000" w:themeColor="text1"/>
                <w:spacing w:val="0"/>
                <w:w w:val="100"/>
                <w:kern w:val="0"/>
                <w:sz w:val="17"/>
                <w:szCs w:val="17"/>
                <w:lang w:eastAsia="zh-CN"/>
              </w:rPr>
              <w:t>D.</w:t>
            </w:r>
            <w:r w:rsidRPr="00E96905">
              <w:rPr>
                <w:rFonts w:eastAsia="Times New Roman"/>
                <w:bCs/>
                <w:color w:val="000000" w:themeColor="text1"/>
                <w:spacing w:val="0"/>
                <w:w w:val="100"/>
                <w:kern w:val="0"/>
                <w:sz w:val="17"/>
                <w:szCs w:val="17"/>
                <w:lang w:eastAsia="zh-CN"/>
              </w:rPr>
              <w:tab/>
              <w:t>Programme support</w:t>
            </w:r>
          </w:p>
        </w:tc>
        <w:tc>
          <w:tcPr>
            <w:tcW w:w="1098" w:type="dxa"/>
            <w:tcBorders>
              <w:top w:val="single" w:sz="4" w:space="0" w:color="auto"/>
              <w:bottom w:val="single" w:sz="4" w:space="0" w:color="auto"/>
            </w:tcBorders>
            <w:shd w:val="clear" w:color="auto" w:fill="auto"/>
            <w:vAlign w:val="bottom"/>
            <w:hideMark/>
          </w:tcPr>
          <w:p w14:paraId="507F0AB7"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Cs/>
                <w:color w:val="000000" w:themeColor="text1"/>
                <w:spacing w:val="0"/>
                <w:w w:val="100"/>
                <w:kern w:val="0"/>
                <w:sz w:val="17"/>
                <w:szCs w:val="17"/>
                <w:lang w:val="en-US" w:eastAsia="zh-CN"/>
              </w:rPr>
            </w:pPr>
            <w:r w:rsidRPr="00E96905">
              <w:rPr>
                <w:rFonts w:eastAsia="Times New Roman"/>
                <w:bCs/>
                <w:color w:val="000000" w:themeColor="text1"/>
                <w:spacing w:val="0"/>
                <w:w w:val="100"/>
                <w:kern w:val="0"/>
                <w:sz w:val="17"/>
                <w:szCs w:val="17"/>
                <w:lang w:val="en-US" w:eastAsia="zh-CN"/>
              </w:rPr>
              <w:t>31</w:t>
            </w:r>
          </w:p>
        </w:tc>
        <w:tc>
          <w:tcPr>
            <w:tcW w:w="1125" w:type="dxa"/>
            <w:tcBorders>
              <w:top w:val="single" w:sz="4" w:space="0" w:color="auto"/>
              <w:bottom w:val="single" w:sz="4" w:space="0" w:color="auto"/>
            </w:tcBorders>
            <w:shd w:val="clear" w:color="auto" w:fill="auto"/>
            <w:vAlign w:val="bottom"/>
          </w:tcPr>
          <w:p w14:paraId="34CAF103"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Cs/>
                <w:color w:val="000000" w:themeColor="text1"/>
                <w:spacing w:val="0"/>
                <w:w w:val="100"/>
                <w:kern w:val="0"/>
                <w:sz w:val="17"/>
                <w:szCs w:val="17"/>
                <w:lang w:val="en-US" w:eastAsia="zh-CN"/>
              </w:rPr>
            </w:pPr>
          </w:p>
        </w:tc>
        <w:tc>
          <w:tcPr>
            <w:tcW w:w="1152" w:type="dxa"/>
            <w:tcBorders>
              <w:top w:val="single" w:sz="4" w:space="0" w:color="auto"/>
              <w:bottom w:val="single" w:sz="4" w:space="0" w:color="auto"/>
            </w:tcBorders>
            <w:shd w:val="clear" w:color="auto" w:fill="auto"/>
            <w:vAlign w:val="bottom"/>
          </w:tcPr>
          <w:p w14:paraId="688CD475"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Cs/>
                <w:color w:val="000000" w:themeColor="text1"/>
                <w:spacing w:val="0"/>
                <w:w w:val="100"/>
                <w:kern w:val="0"/>
                <w:sz w:val="17"/>
                <w:szCs w:val="17"/>
                <w:lang w:val="en-US" w:eastAsia="zh-CN"/>
              </w:rPr>
            </w:pPr>
          </w:p>
        </w:tc>
        <w:tc>
          <w:tcPr>
            <w:tcW w:w="1116" w:type="dxa"/>
            <w:tcBorders>
              <w:top w:val="single" w:sz="4" w:space="0" w:color="auto"/>
              <w:bottom w:val="single" w:sz="4" w:space="0" w:color="auto"/>
            </w:tcBorders>
            <w:shd w:val="clear" w:color="auto" w:fill="auto"/>
            <w:vAlign w:val="bottom"/>
          </w:tcPr>
          <w:p w14:paraId="7DBF7A92"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Cs/>
                <w:color w:val="000000" w:themeColor="text1"/>
                <w:spacing w:val="0"/>
                <w:w w:val="100"/>
                <w:kern w:val="0"/>
                <w:sz w:val="17"/>
                <w:szCs w:val="17"/>
                <w:lang w:val="en-US" w:eastAsia="zh-CN"/>
              </w:rPr>
            </w:pPr>
            <w:r w:rsidRPr="00E96905">
              <w:rPr>
                <w:rFonts w:eastAsia="Times New Roman"/>
                <w:bCs/>
                <w:color w:val="000000" w:themeColor="text1"/>
                <w:spacing w:val="0"/>
                <w:w w:val="100"/>
                <w:kern w:val="0"/>
                <w:sz w:val="17"/>
                <w:szCs w:val="17"/>
                <w:lang w:val="en-US" w:eastAsia="zh-CN"/>
              </w:rPr>
              <w:t>6</w:t>
            </w:r>
          </w:p>
        </w:tc>
        <w:tc>
          <w:tcPr>
            <w:tcW w:w="1107" w:type="dxa"/>
            <w:tcBorders>
              <w:top w:val="single" w:sz="4" w:space="0" w:color="auto"/>
              <w:bottom w:val="single" w:sz="4" w:space="0" w:color="auto"/>
            </w:tcBorders>
            <w:shd w:val="clear" w:color="auto" w:fill="auto"/>
            <w:vAlign w:val="bottom"/>
          </w:tcPr>
          <w:p w14:paraId="35CE2CB9"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Cs/>
                <w:color w:val="000000" w:themeColor="text1"/>
                <w:spacing w:val="0"/>
                <w:w w:val="100"/>
                <w:kern w:val="0"/>
                <w:sz w:val="17"/>
                <w:szCs w:val="17"/>
                <w:lang w:val="en-US" w:eastAsia="zh-CN"/>
              </w:rPr>
            </w:pPr>
          </w:p>
        </w:tc>
        <w:tc>
          <w:tcPr>
            <w:tcW w:w="927" w:type="dxa"/>
            <w:tcBorders>
              <w:top w:val="single" w:sz="4" w:space="0" w:color="auto"/>
              <w:bottom w:val="single" w:sz="4" w:space="0" w:color="auto"/>
            </w:tcBorders>
            <w:shd w:val="clear" w:color="auto" w:fill="auto"/>
            <w:vAlign w:val="bottom"/>
            <w:hideMark/>
          </w:tcPr>
          <w:p w14:paraId="41968E72"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Cs/>
                <w:color w:val="000000" w:themeColor="text1"/>
                <w:spacing w:val="0"/>
                <w:w w:val="100"/>
                <w:kern w:val="0"/>
                <w:sz w:val="17"/>
                <w:szCs w:val="17"/>
                <w:lang w:val="en-US" w:eastAsia="zh-CN"/>
              </w:rPr>
            </w:pPr>
            <w:r w:rsidRPr="00E96905">
              <w:rPr>
                <w:rFonts w:eastAsia="Times New Roman"/>
                <w:bCs/>
                <w:color w:val="000000" w:themeColor="text1"/>
                <w:spacing w:val="0"/>
                <w:w w:val="100"/>
                <w:kern w:val="0"/>
                <w:sz w:val="17"/>
                <w:szCs w:val="17"/>
                <w:lang w:val="en-US" w:eastAsia="zh-CN"/>
              </w:rPr>
              <w:t xml:space="preserve"> 37 </w:t>
            </w:r>
          </w:p>
        </w:tc>
      </w:tr>
      <w:tr w:rsidR="003F2E7C" w:rsidRPr="00E96905" w14:paraId="67C794F3" w14:textId="77777777" w:rsidTr="00206464">
        <w:trPr>
          <w:trHeight w:val="227"/>
        </w:trPr>
        <w:tc>
          <w:tcPr>
            <w:tcW w:w="3294" w:type="dxa"/>
            <w:tcBorders>
              <w:top w:val="single" w:sz="4" w:space="0" w:color="auto"/>
              <w:bottom w:val="single" w:sz="4" w:space="0" w:color="auto"/>
            </w:tcBorders>
            <w:shd w:val="clear" w:color="auto" w:fill="auto"/>
            <w:vAlign w:val="bottom"/>
          </w:tcPr>
          <w:p w14:paraId="00676A2D"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themeColor="text1"/>
                <w:spacing w:val="0"/>
                <w:w w:val="100"/>
                <w:kern w:val="0"/>
                <w:sz w:val="17"/>
                <w:szCs w:val="17"/>
                <w:lang w:eastAsia="zh-CN"/>
              </w:rPr>
            </w:pPr>
            <w:r w:rsidRPr="00E96905">
              <w:rPr>
                <w:rFonts w:eastAsia="Times New Roman"/>
                <w:b/>
                <w:bCs/>
                <w:color w:val="000000" w:themeColor="text1"/>
                <w:spacing w:val="0"/>
                <w:w w:val="100"/>
                <w:kern w:val="0"/>
                <w:sz w:val="17"/>
                <w:szCs w:val="17"/>
                <w:lang w:eastAsia="zh-CN"/>
              </w:rPr>
              <w:tab/>
              <w:t>Subtotal, 2</w:t>
            </w:r>
          </w:p>
        </w:tc>
        <w:tc>
          <w:tcPr>
            <w:tcW w:w="1098" w:type="dxa"/>
            <w:tcBorders>
              <w:top w:val="single" w:sz="4" w:space="0" w:color="auto"/>
              <w:bottom w:val="single" w:sz="4" w:space="0" w:color="auto"/>
            </w:tcBorders>
            <w:shd w:val="clear" w:color="auto" w:fill="auto"/>
            <w:vAlign w:val="bottom"/>
          </w:tcPr>
          <w:p w14:paraId="1A60E537"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108</w:t>
            </w:r>
          </w:p>
        </w:tc>
        <w:tc>
          <w:tcPr>
            <w:tcW w:w="1125" w:type="dxa"/>
            <w:tcBorders>
              <w:top w:val="single" w:sz="4" w:space="0" w:color="auto"/>
              <w:bottom w:val="single" w:sz="4" w:space="0" w:color="auto"/>
            </w:tcBorders>
            <w:shd w:val="clear" w:color="auto" w:fill="auto"/>
            <w:vAlign w:val="bottom"/>
          </w:tcPr>
          <w:p w14:paraId="1246308C"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1152" w:type="dxa"/>
            <w:tcBorders>
              <w:top w:val="single" w:sz="4" w:space="0" w:color="auto"/>
              <w:bottom w:val="single" w:sz="4" w:space="0" w:color="auto"/>
            </w:tcBorders>
            <w:shd w:val="clear" w:color="auto" w:fill="auto"/>
            <w:vAlign w:val="bottom"/>
          </w:tcPr>
          <w:p w14:paraId="29C12A3B"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1116" w:type="dxa"/>
            <w:tcBorders>
              <w:top w:val="single" w:sz="4" w:space="0" w:color="auto"/>
              <w:bottom w:val="single" w:sz="4" w:space="0" w:color="auto"/>
            </w:tcBorders>
            <w:shd w:val="clear" w:color="auto" w:fill="auto"/>
            <w:vAlign w:val="bottom"/>
          </w:tcPr>
          <w:p w14:paraId="727DEE61"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22</w:t>
            </w:r>
          </w:p>
        </w:tc>
        <w:tc>
          <w:tcPr>
            <w:tcW w:w="1107" w:type="dxa"/>
            <w:tcBorders>
              <w:top w:val="single" w:sz="4" w:space="0" w:color="auto"/>
              <w:bottom w:val="single" w:sz="4" w:space="0" w:color="auto"/>
            </w:tcBorders>
            <w:shd w:val="clear" w:color="auto" w:fill="auto"/>
            <w:vAlign w:val="bottom"/>
          </w:tcPr>
          <w:p w14:paraId="642F068F"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927" w:type="dxa"/>
            <w:tcBorders>
              <w:top w:val="single" w:sz="4" w:space="0" w:color="auto"/>
              <w:bottom w:val="single" w:sz="4" w:space="0" w:color="auto"/>
            </w:tcBorders>
            <w:shd w:val="clear" w:color="auto" w:fill="auto"/>
            <w:vAlign w:val="bottom"/>
          </w:tcPr>
          <w:p w14:paraId="7B1B7795"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130 </w:t>
            </w:r>
          </w:p>
        </w:tc>
      </w:tr>
      <w:tr w:rsidR="003F2E7C" w:rsidRPr="00E96905" w14:paraId="7D2BD360" w14:textId="77777777" w:rsidTr="00206464">
        <w:trPr>
          <w:trHeight w:val="227"/>
        </w:trPr>
        <w:tc>
          <w:tcPr>
            <w:tcW w:w="3294" w:type="dxa"/>
            <w:tcBorders>
              <w:top w:val="single" w:sz="4" w:space="0" w:color="auto"/>
              <w:bottom w:val="single" w:sz="12" w:space="0" w:color="auto"/>
            </w:tcBorders>
            <w:shd w:val="clear" w:color="auto" w:fill="auto"/>
            <w:vAlign w:val="bottom"/>
          </w:tcPr>
          <w:p w14:paraId="6EAA1800"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bCs/>
                <w:color w:val="000000" w:themeColor="text1"/>
                <w:spacing w:val="0"/>
                <w:w w:val="100"/>
                <w:kern w:val="0"/>
                <w:sz w:val="17"/>
                <w:szCs w:val="17"/>
                <w:lang w:eastAsia="zh-CN"/>
              </w:rPr>
            </w:pPr>
            <w:r w:rsidRPr="00E96905">
              <w:rPr>
                <w:rFonts w:eastAsia="Times New Roman"/>
                <w:b/>
                <w:bCs/>
                <w:color w:val="000000" w:themeColor="text1"/>
                <w:spacing w:val="0"/>
                <w:w w:val="100"/>
                <w:kern w:val="0"/>
                <w:sz w:val="17"/>
                <w:szCs w:val="17"/>
                <w:lang w:eastAsia="zh-CN"/>
              </w:rPr>
              <w:tab/>
              <w:t>Total</w:t>
            </w:r>
          </w:p>
        </w:tc>
        <w:tc>
          <w:tcPr>
            <w:tcW w:w="1098" w:type="dxa"/>
            <w:tcBorders>
              <w:top w:val="single" w:sz="4" w:space="0" w:color="auto"/>
              <w:bottom w:val="single" w:sz="12" w:space="0" w:color="auto"/>
            </w:tcBorders>
            <w:shd w:val="clear" w:color="auto" w:fill="auto"/>
            <w:vAlign w:val="bottom"/>
          </w:tcPr>
          <w:p w14:paraId="0E679D28"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183</w:t>
            </w:r>
          </w:p>
        </w:tc>
        <w:tc>
          <w:tcPr>
            <w:tcW w:w="1125" w:type="dxa"/>
            <w:tcBorders>
              <w:top w:val="single" w:sz="4" w:space="0" w:color="auto"/>
              <w:bottom w:val="single" w:sz="12" w:space="0" w:color="auto"/>
            </w:tcBorders>
            <w:shd w:val="clear" w:color="auto" w:fill="auto"/>
            <w:vAlign w:val="bottom"/>
          </w:tcPr>
          <w:p w14:paraId="3804C366"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1152" w:type="dxa"/>
            <w:tcBorders>
              <w:top w:val="single" w:sz="4" w:space="0" w:color="auto"/>
              <w:bottom w:val="single" w:sz="12" w:space="0" w:color="auto"/>
            </w:tcBorders>
            <w:shd w:val="clear" w:color="auto" w:fill="auto"/>
            <w:vAlign w:val="bottom"/>
          </w:tcPr>
          <w:p w14:paraId="29C8FEEA"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1116" w:type="dxa"/>
            <w:tcBorders>
              <w:top w:val="single" w:sz="4" w:space="0" w:color="auto"/>
              <w:bottom w:val="single" w:sz="12" w:space="0" w:color="auto"/>
            </w:tcBorders>
            <w:shd w:val="clear" w:color="auto" w:fill="auto"/>
            <w:vAlign w:val="bottom"/>
          </w:tcPr>
          <w:p w14:paraId="1EE82F33"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22</w:t>
            </w:r>
          </w:p>
        </w:tc>
        <w:tc>
          <w:tcPr>
            <w:tcW w:w="1107" w:type="dxa"/>
            <w:tcBorders>
              <w:top w:val="single" w:sz="4" w:space="0" w:color="auto"/>
              <w:bottom w:val="single" w:sz="12" w:space="0" w:color="auto"/>
            </w:tcBorders>
            <w:shd w:val="clear" w:color="auto" w:fill="auto"/>
            <w:vAlign w:val="bottom"/>
          </w:tcPr>
          <w:p w14:paraId="4C678959"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p>
        </w:tc>
        <w:tc>
          <w:tcPr>
            <w:tcW w:w="927" w:type="dxa"/>
            <w:tcBorders>
              <w:top w:val="single" w:sz="4" w:space="0" w:color="auto"/>
              <w:bottom w:val="single" w:sz="12" w:space="0" w:color="auto"/>
            </w:tcBorders>
            <w:shd w:val="clear" w:color="auto" w:fill="auto"/>
            <w:vAlign w:val="bottom"/>
          </w:tcPr>
          <w:p w14:paraId="3B0D02A9" w14:textId="77777777" w:rsidR="003F2E7C" w:rsidRPr="00E96905" w:rsidRDefault="003F2E7C" w:rsidP="00206464">
            <w:pPr>
              <w:tabs>
                <w:tab w:val="left" w:pos="288"/>
                <w:tab w:val="left" w:pos="576"/>
                <w:tab w:val="left" w:pos="864"/>
                <w:tab w:val="left" w:pos="1152"/>
              </w:tabs>
              <w:spacing w:before="81" w:after="81" w:line="210" w:lineRule="exact"/>
              <w:ind w:left="144" w:right="40"/>
              <w:jc w:val="right"/>
              <w:rPr>
                <w:rFonts w:eastAsia="Times New Roman"/>
                <w:b/>
                <w:bCs/>
                <w:color w:val="000000" w:themeColor="text1"/>
                <w:spacing w:val="0"/>
                <w:w w:val="100"/>
                <w:kern w:val="0"/>
                <w:sz w:val="17"/>
                <w:szCs w:val="17"/>
                <w:lang w:val="en-US" w:eastAsia="zh-CN"/>
              </w:rPr>
            </w:pPr>
            <w:r w:rsidRPr="00E96905">
              <w:rPr>
                <w:rFonts w:eastAsia="Times New Roman"/>
                <w:b/>
                <w:bCs/>
                <w:color w:val="000000" w:themeColor="text1"/>
                <w:spacing w:val="0"/>
                <w:w w:val="100"/>
                <w:kern w:val="0"/>
                <w:sz w:val="17"/>
                <w:szCs w:val="17"/>
                <w:lang w:val="en-US" w:eastAsia="zh-CN"/>
              </w:rPr>
              <w:t xml:space="preserve"> 205 </w:t>
            </w:r>
          </w:p>
        </w:tc>
      </w:tr>
    </w:tbl>
    <w:p w14:paraId="1558FCBE" w14:textId="77777777" w:rsidR="003F2E7C" w:rsidRPr="00E96905" w:rsidRDefault="003F2E7C" w:rsidP="003F2E7C">
      <w:pPr>
        <w:pStyle w:val="SingleTxt"/>
        <w:spacing w:after="0" w:line="120" w:lineRule="exact"/>
        <w:rPr>
          <w:sz w:val="10"/>
        </w:rPr>
      </w:pPr>
    </w:p>
    <w:p w14:paraId="11E4CA09" w14:textId="77777777" w:rsidR="003F2E7C" w:rsidRPr="00E96905" w:rsidRDefault="003F2E7C" w:rsidP="003F2E7C">
      <w:pPr>
        <w:pStyle w:val="SingleTxt"/>
        <w:spacing w:after="0" w:line="120" w:lineRule="exact"/>
        <w:rPr>
          <w:sz w:val="10"/>
        </w:rPr>
      </w:pPr>
    </w:p>
    <w:p w14:paraId="112779EA" w14:textId="77777777" w:rsidR="003F2E7C" w:rsidRPr="00E96905" w:rsidRDefault="003F2E7C" w:rsidP="00EF5A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E96905">
        <w:rPr>
          <w:b w:val="0"/>
          <w:bCs/>
        </w:rPr>
        <w:lastRenderedPageBreak/>
        <w:t>Table 15.16</w:t>
      </w:r>
    </w:p>
    <w:p w14:paraId="327CB3CA" w14:textId="77777777" w:rsidR="003F2E7C" w:rsidRPr="00E96905" w:rsidRDefault="003F2E7C" w:rsidP="00EF5A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 xml:space="preserve">Overall: evolution of financial and post resources </w:t>
      </w:r>
    </w:p>
    <w:p w14:paraId="750A258B" w14:textId="77777777" w:rsidR="003F2E7C" w:rsidRPr="00E96905" w:rsidRDefault="003F2E7C" w:rsidP="00EF5A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rsidRPr="00E96905">
        <w:rPr>
          <w:b w:val="0"/>
          <w:bCs/>
          <w:sz w:val="14"/>
          <w:szCs w:val="14"/>
        </w:rPr>
        <w:t>(Thousands of United States dollars/number of posts)</w:t>
      </w:r>
    </w:p>
    <w:p w14:paraId="214F4B8C" w14:textId="77777777" w:rsidR="003F2E7C" w:rsidRPr="00E96905" w:rsidRDefault="003F2E7C" w:rsidP="00EF5A7F">
      <w:pPr>
        <w:pStyle w:val="SingleTxt"/>
        <w:keepNext/>
        <w:keepLines/>
        <w:spacing w:after="0" w:line="120" w:lineRule="exact"/>
        <w:rPr>
          <w:sz w:val="10"/>
        </w:rPr>
      </w:pPr>
    </w:p>
    <w:p w14:paraId="7A11EBAF" w14:textId="77777777" w:rsidR="003F2E7C" w:rsidRPr="00E96905" w:rsidRDefault="003F2E7C" w:rsidP="00EF5A7F">
      <w:pPr>
        <w:pStyle w:val="SingleTxt"/>
        <w:keepNext/>
        <w:keepLines/>
        <w:spacing w:after="0" w:line="120" w:lineRule="exact"/>
        <w:rPr>
          <w:sz w:val="10"/>
        </w:rPr>
      </w:pPr>
    </w:p>
    <w:tbl>
      <w:tblPr>
        <w:tblW w:w="5000" w:type="pct"/>
        <w:tblCellMar>
          <w:left w:w="0" w:type="dxa"/>
          <w:right w:w="0" w:type="dxa"/>
        </w:tblCellMar>
        <w:tblLook w:val="0000" w:firstRow="0" w:lastRow="0" w:firstColumn="0" w:lastColumn="0" w:noHBand="0" w:noVBand="0"/>
      </w:tblPr>
      <w:tblGrid>
        <w:gridCol w:w="2275"/>
        <w:gridCol w:w="1022"/>
        <w:gridCol w:w="1009"/>
        <w:gridCol w:w="1113"/>
        <w:gridCol w:w="1040"/>
        <w:gridCol w:w="863"/>
        <w:gridCol w:w="863"/>
        <w:gridCol w:w="873"/>
        <w:gridCol w:w="792"/>
      </w:tblGrid>
      <w:tr w:rsidR="003F2E7C" w:rsidRPr="00E96905" w14:paraId="6A4E923E" w14:textId="77777777" w:rsidTr="00206464">
        <w:trPr>
          <w:tblHeader/>
        </w:trPr>
        <w:tc>
          <w:tcPr>
            <w:tcW w:w="1155" w:type="pct"/>
            <w:tcBorders>
              <w:top w:val="single" w:sz="4" w:space="0" w:color="auto"/>
            </w:tcBorders>
            <w:shd w:val="clear" w:color="auto" w:fill="auto"/>
            <w:vAlign w:val="bottom"/>
          </w:tcPr>
          <w:p w14:paraId="1C8B90C3" w14:textId="77777777" w:rsidR="003F2E7C" w:rsidRPr="00E96905" w:rsidRDefault="003F2E7C" w:rsidP="00EF5A7F">
            <w:pPr>
              <w:keepNext/>
              <w:keepLines/>
              <w:tabs>
                <w:tab w:val="left" w:pos="288"/>
                <w:tab w:val="left" w:pos="576"/>
                <w:tab w:val="left" w:pos="864"/>
                <w:tab w:val="left" w:pos="1152"/>
              </w:tabs>
              <w:spacing w:before="81" w:after="81" w:line="160" w:lineRule="exact"/>
              <w:ind w:right="40"/>
              <w:rPr>
                <w:i/>
                <w:color w:val="000000" w:themeColor="text1"/>
                <w:sz w:val="14"/>
              </w:rPr>
            </w:pPr>
          </w:p>
        </w:tc>
        <w:tc>
          <w:tcPr>
            <w:tcW w:w="519" w:type="pct"/>
            <w:tcBorders>
              <w:top w:val="single" w:sz="4" w:space="0" w:color="auto"/>
            </w:tcBorders>
            <w:shd w:val="clear" w:color="auto" w:fill="auto"/>
            <w:vAlign w:val="bottom"/>
          </w:tcPr>
          <w:p w14:paraId="313D49CE" w14:textId="77777777" w:rsidR="003F2E7C" w:rsidRPr="00E96905" w:rsidRDefault="003F2E7C" w:rsidP="00EF5A7F">
            <w:pPr>
              <w:keepNext/>
              <w:keepLines/>
              <w:spacing w:before="81" w:after="81" w:line="160" w:lineRule="exact"/>
              <w:ind w:left="14" w:right="43"/>
              <w:jc w:val="right"/>
              <w:rPr>
                <w:rFonts w:eastAsia="Times New Roman"/>
                <w:i/>
                <w:color w:val="000000" w:themeColor="text1"/>
                <w:sz w:val="14"/>
                <w:szCs w:val="24"/>
              </w:rPr>
            </w:pPr>
          </w:p>
        </w:tc>
        <w:tc>
          <w:tcPr>
            <w:tcW w:w="512" w:type="pct"/>
            <w:tcBorders>
              <w:top w:val="single" w:sz="4" w:space="0" w:color="auto"/>
            </w:tcBorders>
            <w:shd w:val="clear" w:color="auto" w:fill="auto"/>
            <w:vAlign w:val="bottom"/>
          </w:tcPr>
          <w:p w14:paraId="174529D2" w14:textId="77777777" w:rsidR="003F2E7C" w:rsidRPr="00E96905" w:rsidRDefault="003F2E7C" w:rsidP="00EF5A7F">
            <w:pPr>
              <w:keepNext/>
              <w:keepLines/>
              <w:spacing w:before="81" w:after="81" w:line="160" w:lineRule="exact"/>
              <w:ind w:left="14" w:right="43"/>
              <w:jc w:val="right"/>
              <w:rPr>
                <w:rFonts w:eastAsia="Times New Roman"/>
                <w:i/>
                <w:color w:val="000000" w:themeColor="text1"/>
                <w:sz w:val="14"/>
                <w:szCs w:val="24"/>
              </w:rPr>
            </w:pPr>
          </w:p>
        </w:tc>
        <w:tc>
          <w:tcPr>
            <w:tcW w:w="2412" w:type="pct"/>
            <w:gridSpan w:val="5"/>
            <w:tcBorders>
              <w:top w:val="single" w:sz="4" w:space="0" w:color="auto"/>
              <w:bottom w:val="single" w:sz="4" w:space="0" w:color="auto"/>
            </w:tcBorders>
            <w:shd w:val="clear" w:color="auto" w:fill="auto"/>
            <w:vAlign w:val="bottom"/>
          </w:tcPr>
          <w:p w14:paraId="536229CA" w14:textId="77777777" w:rsidR="003F2E7C" w:rsidRPr="00E96905" w:rsidRDefault="003F2E7C" w:rsidP="00EF5A7F">
            <w:pPr>
              <w:keepNext/>
              <w:keepLines/>
              <w:spacing w:before="81" w:after="81" w:line="160" w:lineRule="exact"/>
              <w:ind w:left="14" w:right="43"/>
              <w:jc w:val="center"/>
              <w:rPr>
                <w:rFonts w:eastAsia="Times New Roman"/>
                <w:i/>
                <w:color w:val="000000" w:themeColor="text1"/>
                <w:sz w:val="14"/>
                <w:szCs w:val="24"/>
              </w:rPr>
            </w:pPr>
            <w:r w:rsidRPr="00E96905">
              <w:rPr>
                <w:rFonts w:eastAsia="Times New Roman"/>
                <w:i/>
                <w:color w:val="000000" w:themeColor="text1"/>
                <w:sz w:val="14"/>
                <w:szCs w:val="24"/>
              </w:rPr>
              <w:t>Changes</w:t>
            </w:r>
          </w:p>
        </w:tc>
        <w:tc>
          <w:tcPr>
            <w:tcW w:w="402" w:type="pct"/>
            <w:vMerge w:val="restart"/>
            <w:tcBorders>
              <w:top w:val="single" w:sz="4" w:space="0" w:color="auto"/>
            </w:tcBorders>
            <w:shd w:val="clear" w:color="auto" w:fill="auto"/>
            <w:vAlign w:val="bottom"/>
          </w:tcPr>
          <w:p w14:paraId="77EA15AD" w14:textId="77777777" w:rsidR="003F2E7C" w:rsidRPr="00E96905" w:rsidRDefault="003F2E7C" w:rsidP="00EF5A7F">
            <w:pPr>
              <w:keepNext/>
              <w:keepLines/>
              <w:spacing w:before="81" w:after="81" w:line="160" w:lineRule="exact"/>
              <w:ind w:left="14" w:right="43"/>
              <w:jc w:val="right"/>
              <w:rPr>
                <w:rFonts w:eastAsia="Times New Roman"/>
                <w:i/>
                <w:color w:val="000000" w:themeColor="text1"/>
                <w:sz w:val="14"/>
                <w:szCs w:val="24"/>
              </w:rPr>
            </w:pPr>
            <w:r w:rsidRPr="00E96905">
              <w:rPr>
                <w:rFonts w:eastAsia="Times New Roman"/>
                <w:i/>
                <w:color w:val="000000" w:themeColor="text1"/>
                <w:sz w:val="14"/>
                <w:szCs w:val="24"/>
              </w:rPr>
              <w:t xml:space="preserve">2022 </w:t>
            </w:r>
            <w:r w:rsidRPr="00E96905">
              <w:rPr>
                <w:rFonts w:eastAsia="Times New Roman"/>
                <w:i/>
                <w:color w:val="000000" w:themeColor="text1"/>
                <w:sz w:val="14"/>
                <w:szCs w:val="24"/>
              </w:rPr>
              <w:br/>
              <w:t>estimate (before recosting)</w:t>
            </w:r>
          </w:p>
        </w:tc>
      </w:tr>
      <w:tr w:rsidR="003F2E7C" w:rsidRPr="00E96905" w14:paraId="6822015B" w14:textId="77777777" w:rsidTr="00206464">
        <w:trPr>
          <w:tblHeader/>
        </w:trPr>
        <w:tc>
          <w:tcPr>
            <w:tcW w:w="1155" w:type="pct"/>
            <w:tcBorders>
              <w:bottom w:val="single" w:sz="12" w:space="0" w:color="auto"/>
            </w:tcBorders>
            <w:shd w:val="clear" w:color="auto" w:fill="auto"/>
            <w:vAlign w:val="bottom"/>
          </w:tcPr>
          <w:p w14:paraId="634D533A" w14:textId="77777777" w:rsidR="003F2E7C" w:rsidRPr="00E96905" w:rsidRDefault="003F2E7C" w:rsidP="00EF5A7F">
            <w:pPr>
              <w:keepNext/>
              <w:keepLines/>
              <w:tabs>
                <w:tab w:val="left" w:pos="288"/>
                <w:tab w:val="left" w:pos="576"/>
                <w:tab w:val="left" w:pos="864"/>
                <w:tab w:val="left" w:pos="1152"/>
              </w:tabs>
              <w:spacing w:before="81" w:after="81" w:line="160" w:lineRule="exact"/>
              <w:ind w:right="40"/>
              <w:rPr>
                <w:i/>
                <w:color w:val="000000" w:themeColor="text1"/>
                <w:sz w:val="14"/>
              </w:rPr>
            </w:pPr>
          </w:p>
        </w:tc>
        <w:tc>
          <w:tcPr>
            <w:tcW w:w="519" w:type="pct"/>
            <w:tcBorders>
              <w:bottom w:val="single" w:sz="12" w:space="0" w:color="auto"/>
            </w:tcBorders>
            <w:shd w:val="clear" w:color="auto" w:fill="auto"/>
            <w:vAlign w:val="bottom"/>
          </w:tcPr>
          <w:p w14:paraId="287EB7D5" w14:textId="77777777" w:rsidR="003F2E7C" w:rsidRPr="00E96905" w:rsidRDefault="003F2E7C" w:rsidP="00EF5A7F">
            <w:pPr>
              <w:keepNext/>
              <w:keepLines/>
              <w:spacing w:before="81" w:after="81" w:line="160" w:lineRule="exact"/>
              <w:ind w:left="14" w:right="43"/>
              <w:jc w:val="right"/>
              <w:rPr>
                <w:rFonts w:eastAsia="Times New Roman"/>
                <w:i/>
                <w:color w:val="000000" w:themeColor="text1"/>
                <w:sz w:val="14"/>
                <w:szCs w:val="24"/>
              </w:rPr>
            </w:pPr>
            <w:r w:rsidRPr="00E96905">
              <w:rPr>
                <w:rFonts w:eastAsia="Times New Roman"/>
                <w:i/>
                <w:color w:val="000000" w:themeColor="text1"/>
                <w:sz w:val="14"/>
                <w:szCs w:val="24"/>
              </w:rPr>
              <w:t>2020 expenditure</w:t>
            </w:r>
          </w:p>
        </w:tc>
        <w:tc>
          <w:tcPr>
            <w:tcW w:w="512" w:type="pct"/>
            <w:tcBorders>
              <w:bottom w:val="single" w:sz="12" w:space="0" w:color="auto"/>
            </w:tcBorders>
            <w:shd w:val="clear" w:color="auto" w:fill="auto"/>
            <w:vAlign w:val="bottom"/>
          </w:tcPr>
          <w:p w14:paraId="205F1F1A" w14:textId="77777777" w:rsidR="003F2E7C" w:rsidRPr="00E96905" w:rsidRDefault="003F2E7C" w:rsidP="00EF5A7F">
            <w:pPr>
              <w:keepNext/>
              <w:keepLines/>
              <w:spacing w:before="81" w:after="81" w:line="160" w:lineRule="exact"/>
              <w:ind w:left="14" w:right="43"/>
              <w:jc w:val="right"/>
              <w:rPr>
                <w:rFonts w:eastAsia="Times New Roman"/>
                <w:i/>
                <w:color w:val="000000" w:themeColor="text1"/>
                <w:sz w:val="14"/>
                <w:szCs w:val="24"/>
              </w:rPr>
            </w:pPr>
            <w:r w:rsidRPr="00E96905">
              <w:rPr>
                <w:rFonts w:eastAsia="Times New Roman"/>
                <w:i/>
                <w:color w:val="000000" w:themeColor="text1"/>
                <w:sz w:val="14"/>
                <w:szCs w:val="24"/>
              </w:rPr>
              <w:t>2021 appropriation</w:t>
            </w:r>
          </w:p>
        </w:tc>
        <w:tc>
          <w:tcPr>
            <w:tcW w:w="565" w:type="pct"/>
            <w:tcBorders>
              <w:top w:val="single" w:sz="4" w:space="0" w:color="auto"/>
              <w:bottom w:val="single" w:sz="12" w:space="0" w:color="auto"/>
            </w:tcBorders>
            <w:shd w:val="clear" w:color="auto" w:fill="auto"/>
            <w:vAlign w:val="bottom"/>
          </w:tcPr>
          <w:p w14:paraId="7C38EF2D" w14:textId="77777777" w:rsidR="003F2E7C" w:rsidRPr="00E96905" w:rsidRDefault="003F2E7C" w:rsidP="00EF5A7F">
            <w:pPr>
              <w:keepNext/>
              <w:keepLines/>
              <w:spacing w:before="81" w:after="81" w:line="160" w:lineRule="exact"/>
              <w:ind w:left="14" w:right="43"/>
              <w:jc w:val="right"/>
              <w:rPr>
                <w:rFonts w:eastAsia="Times New Roman"/>
                <w:i/>
                <w:color w:val="000000" w:themeColor="text1"/>
                <w:sz w:val="14"/>
                <w:szCs w:val="24"/>
              </w:rPr>
            </w:pPr>
            <w:r w:rsidRPr="00E96905">
              <w:rPr>
                <w:rFonts w:eastAsia="Times New Roman"/>
                <w:i/>
                <w:color w:val="000000" w:themeColor="text1"/>
                <w:sz w:val="14"/>
                <w:szCs w:val="24"/>
              </w:rPr>
              <w:t>Technical adjustments</w:t>
            </w:r>
          </w:p>
        </w:tc>
        <w:tc>
          <w:tcPr>
            <w:tcW w:w="528" w:type="pct"/>
            <w:tcBorders>
              <w:top w:val="single" w:sz="4" w:space="0" w:color="auto"/>
              <w:bottom w:val="single" w:sz="12" w:space="0" w:color="auto"/>
            </w:tcBorders>
            <w:shd w:val="clear" w:color="auto" w:fill="auto"/>
            <w:vAlign w:val="bottom"/>
          </w:tcPr>
          <w:p w14:paraId="7325B5EE" w14:textId="77777777" w:rsidR="00EF5A7F" w:rsidRDefault="003F2E7C" w:rsidP="00EF5A7F">
            <w:pPr>
              <w:keepNext/>
              <w:keepLines/>
              <w:spacing w:before="81" w:line="160" w:lineRule="exact"/>
              <w:ind w:left="14" w:right="43"/>
              <w:jc w:val="right"/>
              <w:rPr>
                <w:rFonts w:eastAsia="Times New Roman"/>
                <w:i/>
                <w:color w:val="000000" w:themeColor="text1"/>
                <w:sz w:val="14"/>
                <w:szCs w:val="24"/>
              </w:rPr>
            </w:pPr>
            <w:r w:rsidRPr="00E96905">
              <w:rPr>
                <w:rFonts w:eastAsia="Times New Roman"/>
                <w:i/>
                <w:color w:val="000000" w:themeColor="text1"/>
                <w:sz w:val="14"/>
                <w:szCs w:val="24"/>
              </w:rPr>
              <w:t>New/</w:t>
            </w:r>
          </w:p>
          <w:p w14:paraId="2F3C7D2C" w14:textId="5A8D2087" w:rsidR="003F2E7C" w:rsidRPr="00E96905" w:rsidRDefault="003F2E7C" w:rsidP="00EF5A7F">
            <w:pPr>
              <w:keepNext/>
              <w:keepLines/>
              <w:spacing w:after="81" w:line="160" w:lineRule="exact"/>
              <w:ind w:left="14" w:right="43"/>
              <w:jc w:val="right"/>
              <w:rPr>
                <w:rFonts w:eastAsia="Times New Roman"/>
                <w:i/>
                <w:color w:val="000000" w:themeColor="text1"/>
                <w:sz w:val="14"/>
                <w:szCs w:val="24"/>
              </w:rPr>
            </w:pPr>
            <w:r w:rsidRPr="00E96905">
              <w:rPr>
                <w:rFonts w:eastAsia="Times New Roman"/>
                <w:i/>
                <w:color w:val="000000" w:themeColor="text1"/>
                <w:sz w:val="14"/>
                <w:szCs w:val="24"/>
              </w:rPr>
              <w:t>expanded mandates</w:t>
            </w:r>
          </w:p>
        </w:tc>
        <w:tc>
          <w:tcPr>
            <w:tcW w:w="438" w:type="pct"/>
            <w:tcBorders>
              <w:top w:val="single" w:sz="4" w:space="0" w:color="auto"/>
              <w:bottom w:val="single" w:sz="12" w:space="0" w:color="auto"/>
            </w:tcBorders>
            <w:shd w:val="clear" w:color="auto" w:fill="auto"/>
            <w:vAlign w:val="bottom"/>
          </w:tcPr>
          <w:p w14:paraId="3E9AC325" w14:textId="77777777" w:rsidR="003F2E7C" w:rsidRPr="00E96905" w:rsidRDefault="003F2E7C" w:rsidP="00EF5A7F">
            <w:pPr>
              <w:keepNext/>
              <w:keepLines/>
              <w:spacing w:before="81" w:after="81" w:line="160" w:lineRule="exact"/>
              <w:ind w:left="14" w:right="43"/>
              <w:jc w:val="right"/>
              <w:rPr>
                <w:rFonts w:eastAsia="Times New Roman"/>
                <w:i/>
                <w:color w:val="000000" w:themeColor="text1"/>
                <w:sz w:val="14"/>
                <w:szCs w:val="24"/>
              </w:rPr>
            </w:pPr>
            <w:r w:rsidRPr="00E96905">
              <w:rPr>
                <w:rFonts w:eastAsia="Times New Roman"/>
                <w:i/>
                <w:color w:val="000000" w:themeColor="text1"/>
                <w:sz w:val="14"/>
                <w:szCs w:val="24"/>
              </w:rPr>
              <w:t xml:space="preserve">Other </w:t>
            </w:r>
          </w:p>
        </w:tc>
        <w:tc>
          <w:tcPr>
            <w:tcW w:w="438" w:type="pct"/>
            <w:tcBorders>
              <w:top w:val="single" w:sz="4" w:space="0" w:color="auto"/>
              <w:bottom w:val="single" w:sz="12" w:space="0" w:color="auto"/>
            </w:tcBorders>
            <w:shd w:val="clear" w:color="auto" w:fill="auto"/>
            <w:vAlign w:val="bottom"/>
          </w:tcPr>
          <w:p w14:paraId="523D4B31" w14:textId="77777777" w:rsidR="003F2E7C" w:rsidRPr="00E96905" w:rsidRDefault="003F2E7C" w:rsidP="00EF5A7F">
            <w:pPr>
              <w:keepNext/>
              <w:keepLines/>
              <w:spacing w:before="81" w:after="81" w:line="160" w:lineRule="exact"/>
              <w:ind w:left="14" w:right="43"/>
              <w:jc w:val="right"/>
              <w:rPr>
                <w:rFonts w:eastAsia="Times New Roman"/>
                <w:i/>
                <w:color w:val="000000" w:themeColor="text1"/>
                <w:sz w:val="14"/>
                <w:szCs w:val="24"/>
              </w:rPr>
            </w:pPr>
            <w:r w:rsidRPr="00E96905">
              <w:rPr>
                <w:rFonts w:eastAsia="Times New Roman"/>
                <w:i/>
                <w:color w:val="000000" w:themeColor="text1"/>
                <w:sz w:val="14"/>
                <w:szCs w:val="24"/>
              </w:rPr>
              <w:t>Total</w:t>
            </w:r>
          </w:p>
        </w:tc>
        <w:tc>
          <w:tcPr>
            <w:tcW w:w="443" w:type="pct"/>
            <w:tcBorders>
              <w:top w:val="single" w:sz="4" w:space="0" w:color="auto"/>
              <w:bottom w:val="single" w:sz="12" w:space="0" w:color="auto"/>
            </w:tcBorders>
            <w:shd w:val="clear" w:color="auto" w:fill="auto"/>
            <w:vAlign w:val="bottom"/>
          </w:tcPr>
          <w:p w14:paraId="147A6E18" w14:textId="77777777" w:rsidR="003F2E7C" w:rsidRPr="00E96905" w:rsidRDefault="003F2E7C" w:rsidP="00EF5A7F">
            <w:pPr>
              <w:keepNext/>
              <w:keepLines/>
              <w:spacing w:before="81" w:after="81" w:line="160" w:lineRule="exact"/>
              <w:ind w:left="14" w:right="43"/>
              <w:jc w:val="right"/>
              <w:rPr>
                <w:rFonts w:eastAsia="Times New Roman"/>
                <w:i/>
                <w:color w:val="000000" w:themeColor="text1"/>
                <w:sz w:val="14"/>
                <w:szCs w:val="24"/>
              </w:rPr>
            </w:pPr>
            <w:r w:rsidRPr="00E96905">
              <w:rPr>
                <w:rFonts w:eastAsia="Times New Roman"/>
                <w:i/>
                <w:color w:val="000000" w:themeColor="text1"/>
                <w:sz w:val="14"/>
                <w:szCs w:val="24"/>
              </w:rPr>
              <w:t xml:space="preserve">Percentage </w:t>
            </w:r>
          </w:p>
        </w:tc>
        <w:tc>
          <w:tcPr>
            <w:tcW w:w="402" w:type="pct"/>
            <w:vMerge/>
            <w:tcBorders>
              <w:bottom w:val="single" w:sz="12" w:space="0" w:color="auto"/>
            </w:tcBorders>
            <w:shd w:val="clear" w:color="auto" w:fill="auto"/>
            <w:vAlign w:val="bottom"/>
          </w:tcPr>
          <w:p w14:paraId="37DE59A6" w14:textId="77777777" w:rsidR="003F2E7C" w:rsidRPr="00E96905" w:rsidRDefault="003F2E7C" w:rsidP="00EF5A7F">
            <w:pPr>
              <w:keepNext/>
              <w:keepLines/>
              <w:spacing w:before="81" w:after="81" w:line="160" w:lineRule="exact"/>
              <w:ind w:left="14" w:right="43"/>
              <w:jc w:val="right"/>
              <w:rPr>
                <w:rFonts w:eastAsia="Times New Roman"/>
                <w:i/>
                <w:color w:val="000000" w:themeColor="text1"/>
                <w:sz w:val="14"/>
                <w:szCs w:val="24"/>
              </w:rPr>
            </w:pPr>
          </w:p>
        </w:tc>
      </w:tr>
      <w:tr w:rsidR="003F2E7C" w:rsidRPr="00E96905" w14:paraId="17C62446" w14:textId="77777777" w:rsidTr="00206464">
        <w:trPr>
          <w:trHeight w:hRule="exact" w:val="115"/>
          <w:tblHeader/>
        </w:trPr>
        <w:tc>
          <w:tcPr>
            <w:tcW w:w="1155" w:type="pct"/>
            <w:tcBorders>
              <w:top w:val="single" w:sz="12" w:space="0" w:color="auto"/>
            </w:tcBorders>
            <w:shd w:val="clear" w:color="auto" w:fill="auto"/>
            <w:vAlign w:val="bottom"/>
          </w:tcPr>
          <w:p w14:paraId="7B9AE7E8" w14:textId="77777777" w:rsidR="003F2E7C" w:rsidRPr="00E96905" w:rsidRDefault="003F2E7C" w:rsidP="00EF5A7F">
            <w:pPr>
              <w:keepNext/>
              <w:keepLines/>
              <w:tabs>
                <w:tab w:val="left" w:pos="288"/>
                <w:tab w:val="left" w:pos="576"/>
                <w:tab w:val="left" w:pos="864"/>
                <w:tab w:val="left" w:pos="1152"/>
              </w:tabs>
              <w:spacing w:before="40" w:after="40" w:line="210" w:lineRule="exact"/>
              <w:ind w:right="40"/>
              <w:rPr>
                <w:b/>
                <w:color w:val="000000" w:themeColor="text1"/>
                <w:sz w:val="17"/>
              </w:rPr>
            </w:pPr>
          </w:p>
        </w:tc>
        <w:tc>
          <w:tcPr>
            <w:tcW w:w="519" w:type="pct"/>
            <w:tcBorders>
              <w:top w:val="single" w:sz="12" w:space="0" w:color="auto"/>
            </w:tcBorders>
            <w:shd w:val="clear" w:color="auto" w:fill="auto"/>
            <w:vAlign w:val="bottom"/>
          </w:tcPr>
          <w:p w14:paraId="00BFA60C"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color w:val="000000" w:themeColor="text1"/>
                <w:sz w:val="17"/>
              </w:rPr>
            </w:pPr>
          </w:p>
        </w:tc>
        <w:tc>
          <w:tcPr>
            <w:tcW w:w="512" w:type="pct"/>
            <w:tcBorders>
              <w:top w:val="single" w:sz="12" w:space="0" w:color="auto"/>
            </w:tcBorders>
            <w:shd w:val="clear" w:color="auto" w:fill="auto"/>
            <w:vAlign w:val="bottom"/>
          </w:tcPr>
          <w:p w14:paraId="5351CA16"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color w:val="000000" w:themeColor="text1"/>
                <w:sz w:val="17"/>
              </w:rPr>
            </w:pPr>
          </w:p>
        </w:tc>
        <w:tc>
          <w:tcPr>
            <w:tcW w:w="565" w:type="pct"/>
            <w:tcBorders>
              <w:top w:val="single" w:sz="12" w:space="0" w:color="auto"/>
            </w:tcBorders>
            <w:shd w:val="clear" w:color="auto" w:fill="auto"/>
            <w:vAlign w:val="bottom"/>
          </w:tcPr>
          <w:p w14:paraId="03C2A2E3"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color w:val="000000" w:themeColor="text1"/>
                <w:sz w:val="17"/>
              </w:rPr>
            </w:pPr>
          </w:p>
        </w:tc>
        <w:tc>
          <w:tcPr>
            <w:tcW w:w="528" w:type="pct"/>
            <w:tcBorders>
              <w:top w:val="single" w:sz="12" w:space="0" w:color="auto"/>
            </w:tcBorders>
            <w:shd w:val="clear" w:color="auto" w:fill="auto"/>
            <w:vAlign w:val="bottom"/>
          </w:tcPr>
          <w:p w14:paraId="5CEF84D4"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color w:val="000000" w:themeColor="text1"/>
                <w:sz w:val="17"/>
              </w:rPr>
            </w:pPr>
          </w:p>
        </w:tc>
        <w:tc>
          <w:tcPr>
            <w:tcW w:w="438" w:type="pct"/>
            <w:tcBorders>
              <w:top w:val="single" w:sz="12" w:space="0" w:color="auto"/>
            </w:tcBorders>
            <w:shd w:val="clear" w:color="auto" w:fill="auto"/>
            <w:vAlign w:val="bottom"/>
          </w:tcPr>
          <w:p w14:paraId="6BC792DA"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color w:val="000000" w:themeColor="text1"/>
                <w:sz w:val="17"/>
              </w:rPr>
            </w:pPr>
          </w:p>
        </w:tc>
        <w:tc>
          <w:tcPr>
            <w:tcW w:w="438" w:type="pct"/>
            <w:tcBorders>
              <w:top w:val="single" w:sz="12" w:space="0" w:color="auto"/>
            </w:tcBorders>
            <w:shd w:val="clear" w:color="auto" w:fill="auto"/>
            <w:vAlign w:val="bottom"/>
          </w:tcPr>
          <w:p w14:paraId="6259AD3B"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color w:val="000000" w:themeColor="text1"/>
                <w:sz w:val="17"/>
              </w:rPr>
            </w:pPr>
          </w:p>
        </w:tc>
        <w:tc>
          <w:tcPr>
            <w:tcW w:w="443" w:type="pct"/>
            <w:tcBorders>
              <w:top w:val="single" w:sz="12" w:space="0" w:color="auto"/>
            </w:tcBorders>
            <w:shd w:val="clear" w:color="auto" w:fill="auto"/>
            <w:vAlign w:val="bottom"/>
          </w:tcPr>
          <w:p w14:paraId="255789FA"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color w:val="000000" w:themeColor="text1"/>
                <w:sz w:val="17"/>
              </w:rPr>
            </w:pPr>
          </w:p>
        </w:tc>
        <w:tc>
          <w:tcPr>
            <w:tcW w:w="402" w:type="pct"/>
            <w:tcBorders>
              <w:top w:val="single" w:sz="12" w:space="0" w:color="auto"/>
            </w:tcBorders>
            <w:shd w:val="clear" w:color="auto" w:fill="auto"/>
            <w:vAlign w:val="bottom"/>
          </w:tcPr>
          <w:p w14:paraId="2A54F19F"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color w:val="000000" w:themeColor="text1"/>
                <w:sz w:val="17"/>
              </w:rPr>
            </w:pPr>
          </w:p>
        </w:tc>
      </w:tr>
      <w:tr w:rsidR="003F2E7C" w:rsidRPr="00E96905" w14:paraId="4C8E0FAC" w14:textId="77777777" w:rsidTr="00206464">
        <w:tc>
          <w:tcPr>
            <w:tcW w:w="2186" w:type="pct"/>
            <w:gridSpan w:val="3"/>
            <w:shd w:val="clear" w:color="auto" w:fill="auto"/>
            <w:vAlign w:val="bottom"/>
          </w:tcPr>
          <w:p w14:paraId="276A5E28" w14:textId="77777777" w:rsidR="003F2E7C" w:rsidRPr="00E96905" w:rsidRDefault="003F2E7C" w:rsidP="00EF5A7F">
            <w:pPr>
              <w:keepNext/>
              <w:keepLines/>
              <w:tabs>
                <w:tab w:val="left" w:pos="288"/>
                <w:tab w:val="left" w:pos="576"/>
                <w:tab w:val="left" w:pos="864"/>
                <w:tab w:val="left" w:pos="1152"/>
              </w:tabs>
              <w:spacing w:before="40" w:after="40" w:line="210" w:lineRule="exact"/>
              <w:ind w:right="43"/>
              <w:rPr>
                <w:rFonts w:eastAsia="Times New Roman"/>
                <w:color w:val="000000" w:themeColor="text1"/>
                <w:sz w:val="17"/>
                <w:szCs w:val="24"/>
              </w:rPr>
            </w:pPr>
            <w:r w:rsidRPr="00E96905">
              <w:rPr>
                <w:b/>
                <w:color w:val="000000" w:themeColor="text1"/>
                <w:sz w:val="17"/>
              </w:rPr>
              <w:t>Financial resources by main category of expenditure</w:t>
            </w:r>
          </w:p>
        </w:tc>
        <w:tc>
          <w:tcPr>
            <w:tcW w:w="565" w:type="pct"/>
            <w:shd w:val="clear" w:color="auto" w:fill="auto"/>
            <w:vAlign w:val="bottom"/>
          </w:tcPr>
          <w:p w14:paraId="36AAFE5F"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rFonts w:eastAsia="Times New Roman"/>
                <w:color w:val="000000" w:themeColor="text1"/>
                <w:sz w:val="17"/>
                <w:szCs w:val="24"/>
              </w:rPr>
            </w:pPr>
          </w:p>
        </w:tc>
        <w:tc>
          <w:tcPr>
            <w:tcW w:w="528" w:type="pct"/>
            <w:shd w:val="clear" w:color="auto" w:fill="auto"/>
            <w:vAlign w:val="bottom"/>
          </w:tcPr>
          <w:p w14:paraId="58ED542F"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rFonts w:eastAsia="Times New Roman"/>
                <w:color w:val="000000" w:themeColor="text1"/>
                <w:sz w:val="17"/>
                <w:szCs w:val="24"/>
              </w:rPr>
            </w:pPr>
          </w:p>
        </w:tc>
        <w:tc>
          <w:tcPr>
            <w:tcW w:w="438" w:type="pct"/>
            <w:shd w:val="clear" w:color="auto" w:fill="auto"/>
            <w:vAlign w:val="bottom"/>
          </w:tcPr>
          <w:p w14:paraId="23C36877"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rFonts w:eastAsia="Times New Roman"/>
                <w:color w:val="000000" w:themeColor="text1"/>
                <w:sz w:val="17"/>
                <w:szCs w:val="24"/>
              </w:rPr>
            </w:pPr>
          </w:p>
        </w:tc>
        <w:tc>
          <w:tcPr>
            <w:tcW w:w="438" w:type="pct"/>
            <w:shd w:val="clear" w:color="auto" w:fill="auto"/>
            <w:vAlign w:val="bottom"/>
          </w:tcPr>
          <w:p w14:paraId="1A8B6B75"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rFonts w:eastAsia="Times New Roman"/>
                <w:color w:val="000000" w:themeColor="text1"/>
                <w:sz w:val="17"/>
                <w:szCs w:val="24"/>
              </w:rPr>
            </w:pPr>
          </w:p>
        </w:tc>
        <w:tc>
          <w:tcPr>
            <w:tcW w:w="443" w:type="pct"/>
            <w:shd w:val="clear" w:color="auto" w:fill="auto"/>
            <w:vAlign w:val="bottom"/>
          </w:tcPr>
          <w:p w14:paraId="71A63341"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rFonts w:eastAsia="Times New Roman"/>
                <w:color w:val="000000" w:themeColor="text1"/>
                <w:sz w:val="17"/>
                <w:szCs w:val="24"/>
              </w:rPr>
            </w:pPr>
          </w:p>
        </w:tc>
        <w:tc>
          <w:tcPr>
            <w:tcW w:w="402" w:type="pct"/>
            <w:shd w:val="clear" w:color="auto" w:fill="auto"/>
            <w:vAlign w:val="bottom"/>
          </w:tcPr>
          <w:p w14:paraId="100936F5" w14:textId="77777777" w:rsidR="003F2E7C" w:rsidRPr="00E96905" w:rsidRDefault="003F2E7C" w:rsidP="00EF5A7F">
            <w:pPr>
              <w:keepNext/>
              <w:keepLines/>
              <w:tabs>
                <w:tab w:val="left" w:pos="288"/>
                <w:tab w:val="left" w:pos="576"/>
                <w:tab w:val="left" w:pos="864"/>
                <w:tab w:val="left" w:pos="1152"/>
              </w:tabs>
              <w:spacing w:before="40" w:after="40" w:line="210" w:lineRule="exact"/>
              <w:ind w:left="14" w:right="43"/>
              <w:jc w:val="right"/>
              <w:rPr>
                <w:rFonts w:eastAsia="Times New Roman"/>
                <w:color w:val="000000" w:themeColor="text1"/>
                <w:sz w:val="17"/>
                <w:szCs w:val="24"/>
              </w:rPr>
            </w:pPr>
          </w:p>
        </w:tc>
      </w:tr>
      <w:tr w:rsidR="003F2E7C" w:rsidRPr="00E96905" w14:paraId="4DA1BE82" w14:textId="77777777" w:rsidTr="00206464">
        <w:trPr>
          <w:trHeight w:val="170"/>
        </w:trPr>
        <w:tc>
          <w:tcPr>
            <w:tcW w:w="1155" w:type="pct"/>
            <w:shd w:val="clear" w:color="auto" w:fill="auto"/>
            <w:vAlign w:val="center"/>
          </w:tcPr>
          <w:p w14:paraId="00FC1BF2"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themeColor="text1"/>
                <w:sz w:val="17"/>
                <w:szCs w:val="24"/>
              </w:rPr>
            </w:pPr>
            <w:r w:rsidRPr="00E96905">
              <w:rPr>
                <w:rFonts w:eastAsia="Times New Roman"/>
                <w:color w:val="000000" w:themeColor="text1"/>
                <w:sz w:val="17"/>
                <w:szCs w:val="24"/>
              </w:rPr>
              <w:t>Post</w:t>
            </w:r>
          </w:p>
        </w:tc>
        <w:tc>
          <w:tcPr>
            <w:tcW w:w="519" w:type="pct"/>
            <w:shd w:val="clear" w:color="auto" w:fill="auto"/>
            <w:vAlign w:val="center"/>
          </w:tcPr>
          <w:p w14:paraId="62C8B9F3"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10 999.0</w:t>
            </w:r>
          </w:p>
        </w:tc>
        <w:tc>
          <w:tcPr>
            <w:tcW w:w="512" w:type="pct"/>
            <w:shd w:val="clear" w:color="auto" w:fill="auto"/>
            <w:vAlign w:val="center"/>
          </w:tcPr>
          <w:p w14:paraId="49929178"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11 285.5 </w:t>
            </w:r>
          </w:p>
        </w:tc>
        <w:tc>
          <w:tcPr>
            <w:tcW w:w="565" w:type="pct"/>
            <w:shd w:val="clear" w:color="auto" w:fill="auto"/>
            <w:vAlign w:val="center"/>
          </w:tcPr>
          <w:p w14:paraId="16E38702"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196.2 </w:t>
            </w:r>
          </w:p>
        </w:tc>
        <w:tc>
          <w:tcPr>
            <w:tcW w:w="528" w:type="pct"/>
            <w:shd w:val="clear" w:color="auto" w:fill="auto"/>
            <w:vAlign w:val="center"/>
          </w:tcPr>
          <w:p w14:paraId="31BF061C"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38" w:type="pct"/>
            <w:shd w:val="clear" w:color="auto" w:fill="auto"/>
            <w:vAlign w:val="center"/>
          </w:tcPr>
          <w:p w14:paraId="085A245C"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38" w:type="pct"/>
            <w:shd w:val="clear" w:color="auto" w:fill="auto"/>
            <w:vAlign w:val="center"/>
          </w:tcPr>
          <w:p w14:paraId="05319C24"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196.2 </w:t>
            </w:r>
          </w:p>
        </w:tc>
        <w:tc>
          <w:tcPr>
            <w:tcW w:w="443" w:type="pct"/>
            <w:shd w:val="clear" w:color="auto" w:fill="auto"/>
            <w:vAlign w:val="center"/>
          </w:tcPr>
          <w:p w14:paraId="5B3FC5D4"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1.7 </w:t>
            </w:r>
          </w:p>
        </w:tc>
        <w:tc>
          <w:tcPr>
            <w:tcW w:w="402" w:type="pct"/>
            <w:shd w:val="clear" w:color="auto" w:fill="auto"/>
            <w:vAlign w:val="center"/>
          </w:tcPr>
          <w:p w14:paraId="38952B0F"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11</w:t>
            </w:r>
            <w:r>
              <w:rPr>
                <w:rFonts w:eastAsia="Times New Roman"/>
                <w:color w:val="000000" w:themeColor="text1"/>
                <w:sz w:val="17"/>
                <w:szCs w:val="24"/>
              </w:rPr>
              <w:t xml:space="preserve"> 4</w:t>
            </w:r>
            <w:r w:rsidRPr="00E96905">
              <w:rPr>
                <w:rFonts w:eastAsia="Times New Roman"/>
                <w:color w:val="000000" w:themeColor="text1"/>
                <w:sz w:val="17"/>
                <w:szCs w:val="24"/>
              </w:rPr>
              <w:t xml:space="preserve">81.7 </w:t>
            </w:r>
          </w:p>
        </w:tc>
      </w:tr>
      <w:tr w:rsidR="003F2E7C" w:rsidRPr="00E96905" w14:paraId="3D81BA71" w14:textId="77777777" w:rsidTr="00206464">
        <w:trPr>
          <w:trHeight w:val="170"/>
        </w:trPr>
        <w:tc>
          <w:tcPr>
            <w:tcW w:w="1155" w:type="pct"/>
            <w:tcBorders>
              <w:bottom w:val="single" w:sz="4" w:space="0" w:color="auto"/>
            </w:tcBorders>
            <w:shd w:val="clear" w:color="auto" w:fill="auto"/>
            <w:vAlign w:val="center"/>
          </w:tcPr>
          <w:p w14:paraId="511655D2" w14:textId="77777777" w:rsidR="003F2E7C" w:rsidRPr="00E96905" w:rsidRDefault="003F2E7C" w:rsidP="00206464">
            <w:pPr>
              <w:tabs>
                <w:tab w:val="left" w:pos="288"/>
                <w:tab w:val="left" w:pos="576"/>
                <w:tab w:val="left" w:pos="864"/>
                <w:tab w:val="left" w:pos="1152"/>
              </w:tabs>
              <w:spacing w:before="40" w:after="81" w:line="210" w:lineRule="exact"/>
              <w:ind w:right="40"/>
              <w:rPr>
                <w:rFonts w:eastAsia="Times New Roman"/>
                <w:color w:val="000000" w:themeColor="text1"/>
                <w:sz w:val="17"/>
                <w:szCs w:val="24"/>
              </w:rPr>
            </w:pPr>
            <w:r w:rsidRPr="00E96905">
              <w:rPr>
                <w:rFonts w:eastAsia="Times New Roman"/>
                <w:color w:val="000000" w:themeColor="text1"/>
                <w:sz w:val="17"/>
                <w:szCs w:val="24"/>
              </w:rPr>
              <w:t>Non-post</w:t>
            </w:r>
          </w:p>
        </w:tc>
        <w:tc>
          <w:tcPr>
            <w:tcW w:w="519" w:type="pct"/>
            <w:tcBorders>
              <w:bottom w:val="single" w:sz="4" w:space="0" w:color="auto"/>
            </w:tcBorders>
            <w:shd w:val="clear" w:color="auto" w:fill="auto"/>
            <w:vAlign w:val="center"/>
          </w:tcPr>
          <w:p w14:paraId="60E735E6"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1 168.3 </w:t>
            </w:r>
          </w:p>
        </w:tc>
        <w:tc>
          <w:tcPr>
            <w:tcW w:w="512" w:type="pct"/>
            <w:tcBorders>
              <w:bottom w:val="single" w:sz="4" w:space="0" w:color="auto"/>
            </w:tcBorders>
            <w:shd w:val="clear" w:color="auto" w:fill="auto"/>
            <w:vAlign w:val="center"/>
          </w:tcPr>
          <w:p w14:paraId="210BA5E1"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1</w:t>
            </w:r>
            <w:r>
              <w:rPr>
                <w:rFonts w:eastAsia="Times New Roman"/>
                <w:color w:val="000000" w:themeColor="text1"/>
                <w:sz w:val="17"/>
                <w:szCs w:val="24"/>
              </w:rPr>
              <w:t xml:space="preserve"> </w:t>
            </w:r>
            <w:r w:rsidRPr="00E96905">
              <w:rPr>
                <w:rFonts w:eastAsia="Times New Roman"/>
                <w:color w:val="000000" w:themeColor="text1"/>
                <w:sz w:val="17"/>
                <w:szCs w:val="24"/>
              </w:rPr>
              <w:t xml:space="preserve">210.3 </w:t>
            </w:r>
          </w:p>
        </w:tc>
        <w:tc>
          <w:tcPr>
            <w:tcW w:w="565" w:type="pct"/>
            <w:tcBorders>
              <w:bottom w:val="single" w:sz="4" w:space="0" w:color="auto"/>
            </w:tcBorders>
            <w:shd w:val="clear" w:color="auto" w:fill="auto"/>
            <w:vAlign w:val="center"/>
          </w:tcPr>
          <w:p w14:paraId="56E75CBD"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528" w:type="pct"/>
            <w:tcBorders>
              <w:bottom w:val="single" w:sz="4" w:space="0" w:color="auto"/>
            </w:tcBorders>
            <w:shd w:val="clear" w:color="auto" w:fill="auto"/>
            <w:vAlign w:val="center"/>
          </w:tcPr>
          <w:p w14:paraId="04DD9AC0"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597.0 </w:t>
            </w:r>
          </w:p>
        </w:tc>
        <w:tc>
          <w:tcPr>
            <w:tcW w:w="438" w:type="pct"/>
            <w:tcBorders>
              <w:bottom w:val="single" w:sz="4" w:space="0" w:color="auto"/>
            </w:tcBorders>
            <w:shd w:val="clear" w:color="auto" w:fill="auto"/>
            <w:vAlign w:val="center"/>
          </w:tcPr>
          <w:p w14:paraId="4486744B"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38" w:type="pct"/>
            <w:tcBorders>
              <w:bottom w:val="single" w:sz="4" w:space="0" w:color="auto"/>
            </w:tcBorders>
            <w:shd w:val="clear" w:color="auto" w:fill="auto"/>
            <w:vAlign w:val="center"/>
          </w:tcPr>
          <w:p w14:paraId="75283217"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597.0 </w:t>
            </w:r>
          </w:p>
        </w:tc>
        <w:tc>
          <w:tcPr>
            <w:tcW w:w="443" w:type="pct"/>
            <w:tcBorders>
              <w:bottom w:val="single" w:sz="4" w:space="0" w:color="auto"/>
            </w:tcBorders>
            <w:shd w:val="clear" w:color="auto" w:fill="auto"/>
            <w:vAlign w:val="center"/>
          </w:tcPr>
          <w:p w14:paraId="22169C2F"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49.3 </w:t>
            </w:r>
          </w:p>
        </w:tc>
        <w:tc>
          <w:tcPr>
            <w:tcW w:w="402" w:type="pct"/>
            <w:tcBorders>
              <w:bottom w:val="single" w:sz="4" w:space="0" w:color="auto"/>
            </w:tcBorders>
            <w:shd w:val="clear" w:color="auto" w:fill="auto"/>
            <w:vAlign w:val="center"/>
          </w:tcPr>
          <w:p w14:paraId="58728C6B"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1 807.3 </w:t>
            </w:r>
          </w:p>
        </w:tc>
      </w:tr>
      <w:tr w:rsidR="003F2E7C" w:rsidRPr="00E96905" w14:paraId="5A827423" w14:textId="77777777" w:rsidTr="00206464">
        <w:trPr>
          <w:trHeight w:val="170"/>
        </w:trPr>
        <w:tc>
          <w:tcPr>
            <w:tcW w:w="1155" w:type="pct"/>
            <w:tcBorders>
              <w:top w:val="single" w:sz="4" w:space="0" w:color="auto"/>
              <w:bottom w:val="single" w:sz="4" w:space="0" w:color="auto"/>
            </w:tcBorders>
            <w:shd w:val="clear" w:color="auto" w:fill="auto"/>
            <w:vAlign w:val="center"/>
          </w:tcPr>
          <w:p w14:paraId="34DA4529"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color w:val="000000" w:themeColor="text1"/>
                <w:sz w:val="17"/>
                <w:szCs w:val="24"/>
              </w:rPr>
            </w:pPr>
            <w:r w:rsidRPr="00E96905">
              <w:rPr>
                <w:rFonts w:eastAsia="Times New Roman"/>
                <w:b/>
                <w:color w:val="000000" w:themeColor="text1"/>
                <w:sz w:val="17"/>
                <w:szCs w:val="24"/>
              </w:rPr>
              <w:tab/>
              <w:t>Total</w:t>
            </w:r>
          </w:p>
        </w:tc>
        <w:tc>
          <w:tcPr>
            <w:tcW w:w="519" w:type="pct"/>
            <w:tcBorders>
              <w:top w:val="single" w:sz="4" w:space="0" w:color="auto"/>
              <w:bottom w:val="single" w:sz="4" w:space="0" w:color="auto"/>
            </w:tcBorders>
            <w:shd w:val="clear" w:color="auto" w:fill="auto"/>
            <w:vAlign w:val="center"/>
          </w:tcPr>
          <w:p w14:paraId="349C1401"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12 167.3</w:t>
            </w:r>
          </w:p>
        </w:tc>
        <w:tc>
          <w:tcPr>
            <w:tcW w:w="512" w:type="pct"/>
            <w:tcBorders>
              <w:top w:val="single" w:sz="4" w:space="0" w:color="auto"/>
              <w:bottom w:val="single" w:sz="4" w:space="0" w:color="auto"/>
            </w:tcBorders>
            <w:shd w:val="clear" w:color="auto" w:fill="auto"/>
            <w:vAlign w:val="center"/>
          </w:tcPr>
          <w:p w14:paraId="62B84998"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12 495.8 </w:t>
            </w:r>
          </w:p>
        </w:tc>
        <w:tc>
          <w:tcPr>
            <w:tcW w:w="565" w:type="pct"/>
            <w:tcBorders>
              <w:top w:val="single" w:sz="4" w:space="0" w:color="auto"/>
              <w:bottom w:val="single" w:sz="4" w:space="0" w:color="auto"/>
            </w:tcBorders>
            <w:shd w:val="clear" w:color="auto" w:fill="auto"/>
            <w:vAlign w:val="center"/>
          </w:tcPr>
          <w:p w14:paraId="52EC4740"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196.2 </w:t>
            </w:r>
          </w:p>
        </w:tc>
        <w:tc>
          <w:tcPr>
            <w:tcW w:w="528" w:type="pct"/>
            <w:tcBorders>
              <w:top w:val="single" w:sz="4" w:space="0" w:color="auto"/>
              <w:bottom w:val="single" w:sz="4" w:space="0" w:color="auto"/>
            </w:tcBorders>
            <w:shd w:val="clear" w:color="auto" w:fill="auto"/>
            <w:vAlign w:val="center"/>
          </w:tcPr>
          <w:p w14:paraId="4D7645D4"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597.0 </w:t>
            </w:r>
          </w:p>
        </w:tc>
        <w:tc>
          <w:tcPr>
            <w:tcW w:w="438" w:type="pct"/>
            <w:tcBorders>
              <w:top w:val="single" w:sz="4" w:space="0" w:color="auto"/>
              <w:bottom w:val="single" w:sz="4" w:space="0" w:color="auto"/>
            </w:tcBorders>
            <w:shd w:val="clear" w:color="auto" w:fill="auto"/>
            <w:vAlign w:val="center"/>
          </w:tcPr>
          <w:p w14:paraId="4D61BF37"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w:t>
            </w:r>
            <w:r>
              <w:rPr>
                <w:rFonts w:eastAsia="Times New Roman"/>
                <w:b/>
                <w:bCs/>
                <w:color w:val="000000" w:themeColor="text1"/>
                <w:sz w:val="17"/>
                <w:szCs w:val="24"/>
              </w:rPr>
              <w:t xml:space="preserve"> </w:t>
            </w:r>
            <w:r w:rsidRPr="00E96905">
              <w:rPr>
                <w:rFonts w:eastAsia="Times New Roman"/>
                <w:b/>
                <w:bCs/>
                <w:color w:val="000000" w:themeColor="text1"/>
                <w:sz w:val="17"/>
                <w:szCs w:val="24"/>
              </w:rPr>
              <w:t xml:space="preserve"> </w:t>
            </w:r>
          </w:p>
        </w:tc>
        <w:tc>
          <w:tcPr>
            <w:tcW w:w="438" w:type="pct"/>
            <w:tcBorders>
              <w:top w:val="single" w:sz="4" w:space="0" w:color="auto"/>
              <w:bottom w:val="single" w:sz="4" w:space="0" w:color="auto"/>
            </w:tcBorders>
            <w:shd w:val="clear" w:color="auto" w:fill="auto"/>
            <w:vAlign w:val="center"/>
          </w:tcPr>
          <w:p w14:paraId="39F17BB8"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793.2 </w:t>
            </w:r>
          </w:p>
        </w:tc>
        <w:tc>
          <w:tcPr>
            <w:tcW w:w="443" w:type="pct"/>
            <w:tcBorders>
              <w:top w:val="single" w:sz="4" w:space="0" w:color="auto"/>
              <w:bottom w:val="single" w:sz="4" w:space="0" w:color="auto"/>
            </w:tcBorders>
            <w:shd w:val="clear" w:color="auto" w:fill="auto"/>
            <w:vAlign w:val="center"/>
          </w:tcPr>
          <w:p w14:paraId="00241A6A"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6.3 </w:t>
            </w:r>
          </w:p>
        </w:tc>
        <w:tc>
          <w:tcPr>
            <w:tcW w:w="402" w:type="pct"/>
            <w:tcBorders>
              <w:top w:val="single" w:sz="4" w:space="0" w:color="auto"/>
              <w:bottom w:val="single" w:sz="4" w:space="0" w:color="auto"/>
            </w:tcBorders>
            <w:shd w:val="clear" w:color="auto" w:fill="auto"/>
            <w:vAlign w:val="center"/>
          </w:tcPr>
          <w:p w14:paraId="0415FC73"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13 289.0 </w:t>
            </w:r>
          </w:p>
        </w:tc>
      </w:tr>
      <w:tr w:rsidR="003F2E7C" w:rsidRPr="00E96905" w14:paraId="21794D64" w14:textId="77777777" w:rsidTr="00206464">
        <w:trPr>
          <w:trHeight w:val="170"/>
        </w:trPr>
        <w:tc>
          <w:tcPr>
            <w:tcW w:w="1155" w:type="pct"/>
            <w:tcBorders>
              <w:top w:val="single" w:sz="4" w:space="0" w:color="auto"/>
            </w:tcBorders>
            <w:shd w:val="clear" w:color="auto" w:fill="auto"/>
            <w:vAlign w:val="center"/>
          </w:tcPr>
          <w:p w14:paraId="59AE38F1" w14:textId="77777777" w:rsidR="003F2E7C" w:rsidRPr="00E96905" w:rsidRDefault="003F2E7C" w:rsidP="00206464">
            <w:pPr>
              <w:tabs>
                <w:tab w:val="left" w:pos="288"/>
                <w:tab w:val="left" w:pos="576"/>
                <w:tab w:val="left" w:pos="864"/>
                <w:tab w:val="left" w:pos="1152"/>
              </w:tabs>
              <w:spacing w:before="81" w:after="40" w:line="210" w:lineRule="exact"/>
              <w:ind w:right="40"/>
              <w:rPr>
                <w:rFonts w:eastAsia="Times New Roman"/>
                <w:color w:val="000000" w:themeColor="text1"/>
                <w:sz w:val="17"/>
                <w:szCs w:val="24"/>
              </w:rPr>
            </w:pPr>
            <w:r w:rsidRPr="00E96905">
              <w:rPr>
                <w:b/>
                <w:color w:val="000000" w:themeColor="text1"/>
                <w:sz w:val="17"/>
              </w:rPr>
              <w:t>Post resources by category</w:t>
            </w:r>
          </w:p>
        </w:tc>
        <w:tc>
          <w:tcPr>
            <w:tcW w:w="519" w:type="pct"/>
            <w:tcBorders>
              <w:top w:val="single" w:sz="4" w:space="0" w:color="auto"/>
            </w:tcBorders>
            <w:shd w:val="clear" w:color="auto" w:fill="auto"/>
            <w:vAlign w:val="center"/>
          </w:tcPr>
          <w:p w14:paraId="0BCB6187"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c>
          <w:tcPr>
            <w:tcW w:w="512" w:type="pct"/>
            <w:tcBorders>
              <w:top w:val="single" w:sz="4" w:space="0" w:color="auto"/>
            </w:tcBorders>
            <w:shd w:val="clear" w:color="auto" w:fill="auto"/>
            <w:vAlign w:val="center"/>
          </w:tcPr>
          <w:p w14:paraId="146921B5"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c>
          <w:tcPr>
            <w:tcW w:w="565" w:type="pct"/>
            <w:tcBorders>
              <w:top w:val="single" w:sz="4" w:space="0" w:color="auto"/>
            </w:tcBorders>
            <w:shd w:val="clear" w:color="auto" w:fill="auto"/>
            <w:vAlign w:val="center"/>
          </w:tcPr>
          <w:p w14:paraId="203ECFEF"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c>
          <w:tcPr>
            <w:tcW w:w="528" w:type="pct"/>
            <w:tcBorders>
              <w:top w:val="single" w:sz="4" w:space="0" w:color="auto"/>
            </w:tcBorders>
            <w:shd w:val="clear" w:color="auto" w:fill="auto"/>
            <w:vAlign w:val="center"/>
          </w:tcPr>
          <w:p w14:paraId="24BBB9A0"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c>
          <w:tcPr>
            <w:tcW w:w="438" w:type="pct"/>
            <w:tcBorders>
              <w:top w:val="single" w:sz="4" w:space="0" w:color="auto"/>
            </w:tcBorders>
            <w:shd w:val="clear" w:color="auto" w:fill="auto"/>
            <w:vAlign w:val="center"/>
          </w:tcPr>
          <w:p w14:paraId="50CCF2A2"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c>
          <w:tcPr>
            <w:tcW w:w="438" w:type="pct"/>
            <w:tcBorders>
              <w:top w:val="single" w:sz="4" w:space="0" w:color="auto"/>
            </w:tcBorders>
            <w:shd w:val="clear" w:color="auto" w:fill="auto"/>
            <w:vAlign w:val="center"/>
          </w:tcPr>
          <w:p w14:paraId="618523F1"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c>
          <w:tcPr>
            <w:tcW w:w="443" w:type="pct"/>
            <w:tcBorders>
              <w:top w:val="single" w:sz="4" w:space="0" w:color="auto"/>
            </w:tcBorders>
            <w:shd w:val="clear" w:color="auto" w:fill="auto"/>
            <w:vAlign w:val="center"/>
          </w:tcPr>
          <w:p w14:paraId="4BC0AE64"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c>
          <w:tcPr>
            <w:tcW w:w="402" w:type="pct"/>
            <w:tcBorders>
              <w:top w:val="single" w:sz="4" w:space="0" w:color="auto"/>
            </w:tcBorders>
            <w:shd w:val="clear" w:color="auto" w:fill="auto"/>
            <w:vAlign w:val="center"/>
          </w:tcPr>
          <w:p w14:paraId="39EF0400"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r>
      <w:tr w:rsidR="003F2E7C" w:rsidRPr="00E96905" w14:paraId="022179E5" w14:textId="77777777" w:rsidTr="00206464">
        <w:trPr>
          <w:trHeight w:val="170"/>
        </w:trPr>
        <w:tc>
          <w:tcPr>
            <w:tcW w:w="1155" w:type="pct"/>
            <w:shd w:val="clear" w:color="auto" w:fill="auto"/>
            <w:vAlign w:val="center"/>
          </w:tcPr>
          <w:p w14:paraId="459AC38E" w14:textId="77777777" w:rsidR="003F2E7C" w:rsidRPr="00E96905" w:rsidRDefault="003F2E7C" w:rsidP="00206464">
            <w:pPr>
              <w:tabs>
                <w:tab w:val="left" w:pos="288"/>
                <w:tab w:val="left" w:pos="576"/>
                <w:tab w:val="left" w:pos="864"/>
                <w:tab w:val="left" w:pos="1152"/>
              </w:tabs>
              <w:spacing w:before="40" w:after="40" w:line="210" w:lineRule="exact"/>
              <w:ind w:right="40"/>
              <w:rPr>
                <w:rFonts w:eastAsia="Times New Roman"/>
                <w:color w:val="000000" w:themeColor="text1"/>
                <w:sz w:val="17"/>
                <w:szCs w:val="24"/>
              </w:rPr>
            </w:pPr>
            <w:r w:rsidRPr="00E96905">
              <w:rPr>
                <w:rFonts w:eastAsia="Times New Roman"/>
                <w:color w:val="000000" w:themeColor="text1"/>
                <w:sz w:val="17"/>
                <w:szCs w:val="24"/>
              </w:rPr>
              <w:t>Professional and higher</w:t>
            </w:r>
          </w:p>
        </w:tc>
        <w:tc>
          <w:tcPr>
            <w:tcW w:w="519" w:type="pct"/>
            <w:shd w:val="clear" w:color="auto" w:fill="auto"/>
            <w:vAlign w:val="center"/>
          </w:tcPr>
          <w:p w14:paraId="5D4CEA56"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c>
          <w:tcPr>
            <w:tcW w:w="512" w:type="pct"/>
            <w:shd w:val="clear" w:color="auto" w:fill="auto"/>
            <w:vAlign w:val="center"/>
          </w:tcPr>
          <w:p w14:paraId="6AC6D795"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51 </w:t>
            </w:r>
          </w:p>
        </w:tc>
        <w:tc>
          <w:tcPr>
            <w:tcW w:w="565" w:type="pct"/>
            <w:shd w:val="clear" w:color="auto" w:fill="auto"/>
            <w:vAlign w:val="center"/>
          </w:tcPr>
          <w:p w14:paraId="69495002"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528" w:type="pct"/>
            <w:shd w:val="clear" w:color="auto" w:fill="auto"/>
            <w:vAlign w:val="center"/>
          </w:tcPr>
          <w:p w14:paraId="3C8F57AF"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38" w:type="pct"/>
            <w:shd w:val="clear" w:color="auto" w:fill="auto"/>
            <w:vAlign w:val="center"/>
          </w:tcPr>
          <w:p w14:paraId="6223B12F"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38" w:type="pct"/>
            <w:shd w:val="clear" w:color="auto" w:fill="auto"/>
            <w:vAlign w:val="center"/>
          </w:tcPr>
          <w:p w14:paraId="0E514566"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43" w:type="pct"/>
            <w:shd w:val="clear" w:color="auto" w:fill="auto"/>
            <w:vAlign w:val="center"/>
          </w:tcPr>
          <w:p w14:paraId="5EE00E0E"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02" w:type="pct"/>
            <w:shd w:val="clear" w:color="auto" w:fill="auto"/>
            <w:vAlign w:val="center"/>
          </w:tcPr>
          <w:p w14:paraId="54880B2C"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51 </w:t>
            </w:r>
          </w:p>
        </w:tc>
      </w:tr>
      <w:tr w:rsidR="003F2E7C" w:rsidRPr="00E96905" w14:paraId="0E78F851" w14:textId="77777777" w:rsidTr="00206464">
        <w:trPr>
          <w:trHeight w:val="170"/>
        </w:trPr>
        <w:tc>
          <w:tcPr>
            <w:tcW w:w="1155" w:type="pct"/>
            <w:tcBorders>
              <w:bottom w:val="single" w:sz="4" w:space="0" w:color="auto"/>
            </w:tcBorders>
            <w:shd w:val="clear" w:color="auto" w:fill="auto"/>
            <w:vAlign w:val="center"/>
          </w:tcPr>
          <w:p w14:paraId="594DF0AD" w14:textId="77777777" w:rsidR="003F2E7C" w:rsidRPr="00E96905" w:rsidRDefault="003F2E7C" w:rsidP="00206464">
            <w:pPr>
              <w:tabs>
                <w:tab w:val="left" w:pos="288"/>
                <w:tab w:val="left" w:pos="576"/>
                <w:tab w:val="left" w:pos="864"/>
                <w:tab w:val="left" w:pos="1152"/>
              </w:tabs>
              <w:spacing w:before="40" w:after="81" w:line="210" w:lineRule="exact"/>
              <w:ind w:right="40"/>
              <w:rPr>
                <w:rFonts w:eastAsia="Times New Roman"/>
                <w:color w:val="000000" w:themeColor="text1"/>
                <w:sz w:val="17"/>
                <w:szCs w:val="24"/>
              </w:rPr>
            </w:pPr>
            <w:r w:rsidRPr="00E96905">
              <w:rPr>
                <w:rFonts w:eastAsia="Times New Roman"/>
                <w:color w:val="000000" w:themeColor="text1"/>
                <w:sz w:val="17"/>
                <w:szCs w:val="24"/>
              </w:rPr>
              <w:t>General Service and related</w:t>
            </w:r>
          </w:p>
        </w:tc>
        <w:tc>
          <w:tcPr>
            <w:tcW w:w="519" w:type="pct"/>
            <w:tcBorders>
              <w:bottom w:val="single" w:sz="4" w:space="0" w:color="auto"/>
            </w:tcBorders>
            <w:shd w:val="clear" w:color="auto" w:fill="auto"/>
            <w:vAlign w:val="center"/>
          </w:tcPr>
          <w:p w14:paraId="1E16F651"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c>
          <w:tcPr>
            <w:tcW w:w="512" w:type="pct"/>
            <w:tcBorders>
              <w:bottom w:val="single" w:sz="4" w:space="0" w:color="auto"/>
            </w:tcBorders>
            <w:shd w:val="clear" w:color="auto" w:fill="auto"/>
            <w:vAlign w:val="center"/>
          </w:tcPr>
          <w:p w14:paraId="71F44742"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24 </w:t>
            </w:r>
          </w:p>
        </w:tc>
        <w:tc>
          <w:tcPr>
            <w:tcW w:w="565" w:type="pct"/>
            <w:tcBorders>
              <w:bottom w:val="single" w:sz="4" w:space="0" w:color="auto"/>
            </w:tcBorders>
            <w:shd w:val="clear" w:color="auto" w:fill="auto"/>
            <w:vAlign w:val="center"/>
          </w:tcPr>
          <w:p w14:paraId="435E93E8"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528" w:type="pct"/>
            <w:tcBorders>
              <w:bottom w:val="single" w:sz="4" w:space="0" w:color="auto"/>
            </w:tcBorders>
            <w:shd w:val="clear" w:color="auto" w:fill="auto"/>
            <w:vAlign w:val="center"/>
          </w:tcPr>
          <w:p w14:paraId="1E5CF889"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38" w:type="pct"/>
            <w:tcBorders>
              <w:bottom w:val="single" w:sz="4" w:space="0" w:color="auto"/>
            </w:tcBorders>
            <w:shd w:val="clear" w:color="auto" w:fill="auto"/>
            <w:vAlign w:val="center"/>
          </w:tcPr>
          <w:p w14:paraId="6FB75DA8"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38" w:type="pct"/>
            <w:tcBorders>
              <w:bottom w:val="single" w:sz="4" w:space="0" w:color="auto"/>
            </w:tcBorders>
            <w:shd w:val="clear" w:color="auto" w:fill="auto"/>
            <w:vAlign w:val="center"/>
          </w:tcPr>
          <w:p w14:paraId="6890F795"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43" w:type="pct"/>
            <w:tcBorders>
              <w:bottom w:val="single" w:sz="4" w:space="0" w:color="auto"/>
            </w:tcBorders>
            <w:shd w:val="clear" w:color="auto" w:fill="auto"/>
            <w:vAlign w:val="center"/>
          </w:tcPr>
          <w:p w14:paraId="1C76EB38"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w:t>
            </w:r>
            <w:r>
              <w:rPr>
                <w:rFonts w:eastAsia="Times New Roman"/>
                <w:color w:val="000000" w:themeColor="text1"/>
                <w:sz w:val="17"/>
                <w:szCs w:val="24"/>
              </w:rPr>
              <w:t xml:space="preserve"> </w:t>
            </w:r>
            <w:r w:rsidRPr="00E96905">
              <w:rPr>
                <w:rFonts w:eastAsia="Times New Roman"/>
                <w:color w:val="000000" w:themeColor="text1"/>
                <w:sz w:val="17"/>
                <w:szCs w:val="24"/>
              </w:rPr>
              <w:t xml:space="preserve"> </w:t>
            </w:r>
          </w:p>
        </w:tc>
        <w:tc>
          <w:tcPr>
            <w:tcW w:w="402" w:type="pct"/>
            <w:tcBorders>
              <w:bottom w:val="single" w:sz="4" w:space="0" w:color="auto"/>
            </w:tcBorders>
            <w:shd w:val="clear" w:color="auto" w:fill="auto"/>
            <w:vAlign w:val="center"/>
          </w:tcPr>
          <w:p w14:paraId="192A7FE3"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r w:rsidRPr="00E96905">
              <w:rPr>
                <w:rFonts w:eastAsia="Times New Roman"/>
                <w:color w:val="000000" w:themeColor="text1"/>
                <w:sz w:val="17"/>
                <w:szCs w:val="24"/>
              </w:rPr>
              <w:t xml:space="preserve"> 24 </w:t>
            </w:r>
          </w:p>
        </w:tc>
      </w:tr>
      <w:tr w:rsidR="003F2E7C" w:rsidRPr="00E96905" w14:paraId="50C02517" w14:textId="77777777" w:rsidTr="00206464">
        <w:trPr>
          <w:trHeight w:val="170"/>
        </w:trPr>
        <w:tc>
          <w:tcPr>
            <w:tcW w:w="1155" w:type="pct"/>
            <w:tcBorders>
              <w:top w:val="single" w:sz="4" w:space="0" w:color="auto"/>
              <w:bottom w:val="single" w:sz="12" w:space="0" w:color="auto"/>
            </w:tcBorders>
            <w:shd w:val="clear" w:color="auto" w:fill="auto"/>
            <w:vAlign w:val="center"/>
          </w:tcPr>
          <w:p w14:paraId="51DAEE87" w14:textId="77777777" w:rsidR="003F2E7C" w:rsidRPr="00E96905" w:rsidRDefault="003F2E7C" w:rsidP="00206464">
            <w:pPr>
              <w:tabs>
                <w:tab w:val="left" w:pos="288"/>
                <w:tab w:val="left" w:pos="576"/>
                <w:tab w:val="left" w:pos="864"/>
                <w:tab w:val="left" w:pos="1152"/>
              </w:tabs>
              <w:spacing w:before="81" w:after="81" w:line="210" w:lineRule="exact"/>
              <w:ind w:right="40"/>
              <w:rPr>
                <w:rFonts w:eastAsia="Times New Roman"/>
                <w:b/>
                <w:color w:val="000000" w:themeColor="text1"/>
                <w:sz w:val="17"/>
                <w:szCs w:val="24"/>
              </w:rPr>
            </w:pPr>
            <w:r w:rsidRPr="00E96905">
              <w:rPr>
                <w:rFonts w:eastAsia="Times New Roman"/>
                <w:b/>
                <w:color w:val="000000" w:themeColor="text1"/>
                <w:sz w:val="17"/>
                <w:szCs w:val="24"/>
              </w:rPr>
              <w:tab/>
              <w:t>Total</w:t>
            </w:r>
          </w:p>
        </w:tc>
        <w:tc>
          <w:tcPr>
            <w:tcW w:w="519" w:type="pct"/>
            <w:tcBorders>
              <w:top w:val="single" w:sz="4" w:space="0" w:color="auto"/>
              <w:bottom w:val="single" w:sz="12" w:space="0" w:color="auto"/>
            </w:tcBorders>
            <w:shd w:val="clear" w:color="auto" w:fill="auto"/>
            <w:vAlign w:val="center"/>
          </w:tcPr>
          <w:p w14:paraId="56FD863C"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color w:val="000000" w:themeColor="text1"/>
                <w:sz w:val="17"/>
                <w:szCs w:val="24"/>
              </w:rPr>
            </w:pPr>
          </w:p>
        </w:tc>
        <w:tc>
          <w:tcPr>
            <w:tcW w:w="512" w:type="pct"/>
            <w:tcBorders>
              <w:top w:val="single" w:sz="4" w:space="0" w:color="auto"/>
              <w:bottom w:val="single" w:sz="12" w:space="0" w:color="auto"/>
            </w:tcBorders>
            <w:shd w:val="clear" w:color="auto" w:fill="auto"/>
            <w:vAlign w:val="center"/>
          </w:tcPr>
          <w:p w14:paraId="571399CA"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75 </w:t>
            </w:r>
          </w:p>
        </w:tc>
        <w:tc>
          <w:tcPr>
            <w:tcW w:w="565" w:type="pct"/>
            <w:tcBorders>
              <w:top w:val="single" w:sz="4" w:space="0" w:color="auto"/>
              <w:bottom w:val="single" w:sz="12" w:space="0" w:color="auto"/>
            </w:tcBorders>
            <w:shd w:val="clear" w:color="auto" w:fill="auto"/>
            <w:vAlign w:val="center"/>
          </w:tcPr>
          <w:p w14:paraId="25FFCD1A"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w:t>
            </w:r>
            <w:r>
              <w:rPr>
                <w:rFonts w:eastAsia="Times New Roman"/>
                <w:b/>
                <w:bCs/>
                <w:color w:val="000000" w:themeColor="text1"/>
                <w:sz w:val="17"/>
                <w:szCs w:val="24"/>
              </w:rPr>
              <w:t xml:space="preserve"> </w:t>
            </w:r>
            <w:r w:rsidRPr="00E96905">
              <w:rPr>
                <w:rFonts w:eastAsia="Times New Roman"/>
                <w:b/>
                <w:bCs/>
                <w:color w:val="000000" w:themeColor="text1"/>
                <w:sz w:val="17"/>
                <w:szCs w:val="24"/>
              </w:rPr>
              <w:t xml:space="preserve"> </w:t>
            </w:r>
          </w:p>
        </w:tc>
        <w:tc>
          <w:tcPr>
            <w:tcW w:w="528" w:type="pct"/>
            <w:tcBorders>
              <w:top w:val="single" w:sz="4" w:space="0" w:color="auto"/>
              <w:bottom w:val="single" w:sz="12" w:space="0" w:color="auto"/>
            </w:tcBorders>
            <w:shd w:val="clear" w:color="auto" w:fill="auto"/>
            <w:vAlign w:val="center"/>
          </w:tcPr>
          <w:p w14:paraId="616C1571"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w:t>
            </w:r>
            <w:r>
              <w:rPr>
                <w:rFonts w:eastAsia="Times New Roman"/>
                <w:b/>
                <w:bCs/>
                <w:color w:val="000000" w:themeColor="text1"/>
                <w:sz w:val="17"/>
                <w:szCs w:val="24"/>
              </w:rPr>
              <w:t xml:space="preserve"> </w:t>
            </w:r>
            <w:r w:rsidRPr="00E96905">
              <w:rPr>
                <w:rFonts w:eastAsia="Times New Roman"/>
                <w:b/>
                <w:bCs/>
                <w:color w:val="000000" w:themeColor="text1"/>
                <w:sz w:val="17"/>
                <w:szCs w:val="24"/>
              </w:rPr>
              <w:t xml:space="preserve"> </w:t>
            </w:r>
          </w:p>
        </w:tc>
        <w:tc>
          <w:tcPr>
            <w:tcW w:w="438" w:type="pct"/>
            <w:tcBorders>
              <w:top w:val="single" w:sz="4" w:space="0" w:color="auto"/>
              <w:bottom w:val="single" w:sz="12" w:space="0" w:color="auto"/>
            </w:tcBorders>
            <w:shd w:val="clear" w:color="auto" w:fill="auto"/>
            <w:vAlign w:val="center"/>
          </w:tcPr>
          <w:p w14:paraId="0A7F7655"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w:t>
            </w:r>
            <w:r>
              <w:rPr>
                <w:rFonts w:eastAsia="Times New Roman"/>
                <w:b/>
                <w:bCs/>
                <w:color w:val="000000" w:themeColor="text1"/>
                <w:sz w:val="17"/>
                <w:szCs w:val="24"/>
              </w:rPr>
              <w:t xml:space="preserve"> </w:t>
            </w:r>
            <w:r w:rsidRPr="00E96905">
              <w:rPr>
                <w:rFonts w:eastAsia="Times New Roman"/>
                <w:b/>
                <w:bCs/>
                <w:color w:val="000000" w:themeColor="text1"/>
                <w:sz w:val="17"/>
                <w:szCs w:val="24"/>
              </w:rPr>
              <w:t xml:space="preserve"> </w:t>
            </w:r>
          </w:p>
        </w:tc>
        <w:tc>
          <w:tcPr>
            <w:tcW w:w="438" w:type="pct"/>
            <w:tcBorders>
              <w:top w:val="single" w:sz="4" w:space="0" w:color="auto"/>
              <w:bottom w:val="single" w:sz="12" w:space="0" w:color="auto"/>
            </w:tcBorders>
            <w:shd w:val="clear" w:color="auto" w:fill="auto"/>
            <w:vAlign w:val="center"/>
          </w:tcPr>
          <w:p w14:paraId="56EB4C08"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w:t>
            </w:r>
            <w:r>
              <w:rPr>
                <w:rFonts w:eastAsia="Times New Roman"/>
                <w:b/>
                <w:bCs/>
                <w:color w:val="000000" w:themeColor="text1"/>
                <w:sz w:val="17"/>
                <w:szCs w:val="24"/>
              </w:rPr>
              <w:t xml:space="preserve"> </w:t>
            </w:r>
            <w:r w:rsidRPr="00E96905">
              <w:rPr>
                <w:rFonts w:eastAsia="Times New Roman"/>
                <w:b/>
                <w:bCs/>
                <w:color w:val="000000" w:themeColor="text1"/>
                <w:sz w:val="17"/>
                <w:szCs w:val="24"/>
              </w:rPr>
              <w:t xml:space="preserve"> </w:t>
            </w:r>
          </w:p>
        </w:tc>
        <w:tc>
          <w:tcPr>
            <w:tcW w:w="443" w:type="pct"/>
            <w:tcBorders>
              <w:top w:val="single" w:sz="4" w:space="0" w:color="auto"/>
              <w:bottom w:val="single" w:sz="12" w:space="0" w:color="auto"/>
            </w:tcBorders>
            <w:shd w:val="clear" w:color="auto" w:fill="auto"/>
            <w:vAlign w:val="center"/>
          </w:tcPr>
          <w:p w14:paraId="1BD0AEBE"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w:t>
            </w:r>
            <w:r>
              <w:rPr>
                <w:rFonts w:eastAsia="Times New Roman"/>
                <w:b/>
                <w:bCs/>
                <w:color w:val="000000" w:themeColor="text1"/>
                <w:sz w:val="17"/>
                <w:szCs w:val="24"/>
              </w:rPr>
              <w:t xml:space="preserve"> </w:t>
            </w:r>
            <w:r w:rsidRPr="00E96905">
              <w:rPr>
                <w:rFonts w:eastAsia="Times New Roman"/>
                <w:b/>
                <w:bCs/>
                <w:color w:val="000000" w:themeColor="text1"/>
                <w:sz w:val="17"/>
                <w:szCs w:val="24"/>
              </w:rPr>
              <w:t xml:space="preserve"> </w:t>
            </w:r>
          </w:p>
        </w:tc>
        <w:tc>
          <w:tcPr>
            <w:tcW w:w="402" w:type="pct"/>
            <w:tcBorders>
              <w:top w:val="single" w:sz="4" w:space="0" w:color="auto"/>
              <w:bottom w:val="single" w:sz="12" w:space="0" w:color="auto"/>
            </w:tcBorders>
            <w:shd w:val="clear" w:color="auto" w:fill="auto"/>
            <w:vAlign w:val="center"/>
          </w:tcPr>
          <w:p w14:paraId="2FCC6EB7" w14:textId="77777777" w:rsidR="003F2E7C" w:rsidRPr="00E96905" w:rsidRDefault="003F2E7C" w:rsidP="00206464">
            <w:pPr>
              <w:tabs>
                <w:tab w:val="left" w:pos="288"/>
                <w:tab w:val="left" w:pos="576"/>
                <w:tab w:val="left" w:pos="864"/>
                <w:tab w:val="left" w:pos="1152"/>
              </w:tabs>
              <w:spacing w:before="40" w:after="40" w:line="210" w:lineRule="exact"/>
              <w:ind w:right="40"/>
              <w:jc w:val="right"/>
              <w:rPr>
                <w:rFonts w:eastAsia="Times New Roman"/>
                <w:b/>
                <w:bCs/>
                <w:color w:val="000000" w:themeColor="text1"/>
                <w:sz w:val="17"/>
                <w:szCs w:val="24"/>
              </w:rPr>
            </w:pPr>
            <w:r w:rsidRPr="00E96905">
              <w:rPr>
                <w:rFonts w:eastAsia="Times New Roman"/>
                <w:b/>
                <w:bCs/>
                <w:color w:val="000000" w:themeColor="text1"/>
                <w:sz w:val="17"/>
                <w:szCs w:val="24"/>
              </w:rPr>
              <w:t xml:space="preserve"> 75 </w:t>
            </w:r>
          </w:p>
        </w:tc>
      </w:tr>
    </w:tbl>
    <w:p w14:paraId="765BCF8D" w14:textId="77777777" w:rsidR="003F2E7C" w:rsidRPr="00E96905" w:rsidRDefault="003F2E7C" w:rsidP="003F2E7C">
      <w:pPr>
        <w:pStyle w:val="SingleTxt"/>
        <w:spacing w:after="0" w:line="120" w:lineRule="exact"/>
        <w:rPr>
          <w:sz w:val="10"/>
        </w:rPr>
      </w:pPr>
    </w:p>
    <w:p w14:paraId="3B363927" w14:textId="77777777" w:rsidR="003F2E7C" w:rsidRPr="00E96905" w:rsidRDefault="003F2E7C" w:rsidP="003F2E7C">
      <w:pPr>
        <w:pStyle w:val="SingleTxt"/>
        <w:spacing w:after="0" w:line="120" w:lineRule="exact"/>
        <w:rPr>
          <w:sz w:val="10"/>
        </w:rPr>
      </w:pPr>
    </w:p>
    <w:p w14:paraId="2A3B5A6C" w14:textId="77777777" w:rsidR="003F2E7C" w:rsidRPr="00E96905" w:rsidRDefault="003F2E7C" w:rsidP="003F2E7C">
      <w:r w:rsidRPr="00E96905">
        <w:t>Figure 15.XII</w:t>
      </w:r>
    </w:p>
    <w:p w14:paraId="42089F20"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 xml:space="preserve">Distribution of proposed resources for 2022 (before recosting) </w:t>
      </w:r>
    </w:p>
    <w:p w14:paraId="5FCD69D0"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rPr>
      </w:pPr>
      <w:r w:rsidRPr="00E96905">
        <w:rPr>
          <w:b w:val="0"/>
          <w:bCs/>
          <w:sz w:val="14"/>
          <w:szCs w:val="14"/>
        </w:rPr>
        <w:t>(Number of posts/thousands of United States dollars)</w:t>
      </w:r>
    </w:p>
    <w:p w14:paraId="66612C93" w14:textId="77777777" w:rsidR="003F2E7C" w:rsidRPr="00E96905" w:rsidRDefault="003F2E7C" w:rsidP="003F2E7C">
      <w:pPr>
        <w:pStyle w:val="SingleTxt"/>
        <w:spacing w:after="0" w:line="120" w:lineRule="exact"/>
        <w:rPr>
          <w:sz w:val="10"/>
        </w:rPr>
      </w:pPr>
    </w:p>
    <w:p w14:paraId="38F7DF57" w14:textId="05F03396" w:rsidR="003F2E7C" w:rsidRPr="00E96905" w:rsidRDefault="00EF5A7F" w:rsidP="003F2E7C">
      <w:pPr>
        <w:pStyle w:val="SingleTxt"/>
        <w:spacing w:after="0" w:line="120" w:lineRule="exact"/>
        <w:rPr>
          <w:sz w:val="10"/>
        </w:rPr>
      </w:pPr>
      <w:r>
        <w:rPr>
          <w:noProof/>
          <w:lang w:val="en-US"/>
        </w:rPr>
        <w:drawing>
          <wp:anchor distT="0" distB="0" distL="114300" distR="114300" simplePos="0" relativeHeight="251686912" behindDoc="0" locked="0" layoutInCell="1" allowOverlap="1" wp14:anchorId="4A8E29AE" wp14:editId="6AF7A29C">
            <wp:simplePos x="0" y="0"/>
            <wp:positionH relativeFrom="margin">
              <wp:align>left</wp:align>
            </wp:positionH>
            <wp:positionV relativeFrom="paragraph">
              <wp:posOffset>80645</wp:posOffset>
            </wp:positionV>
            <wp:extent cx="6230620" cy="3104515"/>
            <wp:effectExtent l="0" t="0" r="0" b="635"/>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83">
                      <a:extLst>
                        <a:ext uri="{28A0092B-C50C-407E-A947-70E740481C1C}">
                          <a14:useLocalDpi xmlns:a14="http://schemas.microsoft.com/office/drawing/2010/main" val="0"/>
                        </a:ext>
                      </a:extLst>
                    </a:blip>
                    <a:srcRect l="15869" r="14205" b="8691"/>
                    <a:stretch/>
                  </pic:blipFill>
                  <pic:spPr bwMode="auto">
                    <a:xfrm>
                      <a:off x="0" y="0"/>
                      <a:ext cx="6230620" cy="31045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916475" w14:textId="12C7A2A4" w:rsidR="00EF5A7F" w:rsidRPr="00EF5A7F" w:rsidRDefault="00EF5A7F" w:rsidP="00EF5A7F">
      <w:pPr>
        <w:pStyle w:val="SingleTxt"/>
        <w:spacing w:after="0" w:line="120" w:lineRule="exact"/>
        <w:rPr>
          <w:sz w:val="10"/>
        </w:rPr>
      </w:pPr>
    </w:p>
    <w:p w14:paraId="0FB721A8" w14:textId="7F92E6B8" w:rsidR="00EF5A7F" w:rsidRPr="00EF5A7F" w:rsidRDefault="00EF5A7F" w:rsidP="00EF5A7F">
      <w:pPr>
        <w:pStyle w:val="SingleTxt"/>
        <w:spacing w:after="0" w:line="120" w:lineRule="exact"/>
        <w:rPr>
          <w:sz w:val="10"/>
        </w:rPr>
      </w:pPr>
    </w:p>
    <w:p w14:paraId="50EC87F3" w14:textId="66B74CA1" w:rsidR="00EF5A7F" w:rsidRPr="00EF5A7F" w:rsidRDefault="00EF5A7F" w:rsidP="00EF5A7F">
      <w:pPr>
        <w:pStyle w:val="SingleTxt"/>
        <w:spacing w:after="0" w:line="120" w:lineRule="exact"/>
        <w:rPr>
          <w:sz w:val="10"/>
        </w:rPr>
      </w:pPr>
    </w:p>
    <w:p w14:paraId="6F45079F" w14:textId="37805292" w:rsidR="003F2E7C" w:rsidRPr="00E96905" w:rsidRDefault="003F2E7C" w:rsidP="003F2E7C">
      <w:pPr>
        <w:pStyle w:val="H1"/>
        <w:ind w:right="1260"/>
      </w:pPr>
      <w:r w:rsidRPr="00E96905">
        <w:tab/>
      </w:r>
      <w:r w:rsidRPr="00E96905">
        <w:tab/>
        <w:t>Explanation of variances by factor, component and subprogramme</w:t>
      </w:r>
    </w:p>
    <w:p w14:paraId="46425F57" w14:textId="77777777" w:rsidR="003F2E7C" w:rsidRPr="00E96905" w:rsidRDefault="003F2E7C" w:rsidP="003F2E7C">
      <w:pPr>
        <w:pStyle w:val="SingleTxt"/>
        <w:spacing w:after="0" w:line="120" w:lineRule="exact"/>
        <w:rPr>
          <w:sz w:val="10"/>
        </w:rPr>
      </w:pPr>
    </w:p>
    <w:p w14:paraId="7B505AC1" w14:textId="77777777" w:rsidR="003F2E7C" w:rsidRPr="00E96905" w:rsidRDefault="003F2E7C" w:rsidP="003F2E7C">
      <w:pPr>
        <w:pStyle w:val="SingleTxt"/>
        <w:spacing w:after="0" w:line="120" w:lineRule="exact"/>
        <w:rPr>
          <w:sz w:val="10"/>
        </w:rPr>
      </w:pPr>
    </w:p>
    <w:p w14:paraId="54B68943" w14:textId="77777777" w:rsidR="003F2E7C" w:rsidRPr="00E96905" w:rsidRDefault="003F2E7C" w:rsidP="003F2E7C">
      <w:pPr>
        <w:pStyle w:val="H1"/>
        <w:ind w:right="1260"/>
      </w:pPr>
      <w:r w:rsidRPr="00E96905">
        <w:tab/>
      </w:r>
      <w:r w:rsidRPr="00E96905">
        <w:tab/>
        <w:t>Overall resource changes</w:t>
      </w:r>
    </w:p>
    <w:p w14:paraId="79BC9F96" w14:textId="77777777" w:rsidR="003F2E7C" w:rsidRPr="00E96905" w:rsidRDefault="003F2E7C" w:rsidP="003F2E7C">
      <w:pPr>
        <w:pStyle w:val="SingleTxt"/>
        <w:spacing w:after="0" w:line="120" w:lineRule="exact"/>
        <w:rPr>
          <w:sz w:val="10"/>
        </w:rPr>
      </w:pPr>
    </w:p>
    <w:p w14:paraId="54432BF0" w14:textId="77777777" w:rsidR="003F2E7C" w:rsidRPr="00E96905" w:rsidRDefault="003F2E7C" w:rsidP="003F2E7C">
      <w:pPr>
        <w:pStyle w:val="SingleTxt"/>
        <w:spacing w:after="0" w:line="120" w:lineRule="exact"/>
        <w:rPr>
          <w:sz w:val="10"/>
        </w:rPr>
      </w:pPr>
    </w:p>
    <w:p w14:paraId="2FF96623"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ab/>
      </w:r>
      <w:r w:rsidRPr="00E96905">
        <w:tab/>
        <w:t xml:space="preserve">Technical adjustments </w:t>
      </w:r>
    </w:p>
    <w:p w14:paraId="0DD01F4A" w14:textId="77777777" w:rsidR="003F2E7C" w:rsidRPr="00E96905" w:rsidRDefault="003F2E7C" w:rsidP="003F2E7C">
      <w:pPr>
        <w:pStyle w:val="SingleTxt"/>
        <w:spacing w:after="0" w:line="120" w:lineRule="exact"/>
        <w:rPr>
          <w:sz w:val="10"/>
        </w:rPr>
      </w:pPr>
    </w:p>
    <w:p w14:paraId="044D13CE"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15.13</w:t>
      </w:r>
      <w:r>
        <w:t>2</w:t>
      </w:r>
      <w:r w:rsidRPr="00E96905">
        <w:tab/>
        <w:t>As reflected in table 15.14 (1), resource changes reflect a net increase of $196,200, as follows:</w:t>
      </w:r>
    </w:p>
    <w:p w14:paraId="1BFD88F9" w14:textId="474B8945"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lastRenderedPageBreak/>
        <w:tab/>
      </w:r>
      <w:r w:rsidRPr="00E96905">
        <w:tab/>
      </w:r>
      <w:r w:rsidRPr="00E96905">
        <w:tab/>
      </w:r>
      <w:r w:rsidRPr="00E96905">
        <w:rPr>
          <w:b/>
          <w:bCs/>
        </w:rPr>
        <w:t xml:space="preserve">Subprogramme 2, Enhanced shared prosperity of cities and regions </w:t>
      </w:r>
      <w:r w:rsidRPr="00A86964">
        <w:t>(increase of $98,100) and</w:t>
      </w:r>
      <w:r w:rsidRPr="00E96905">
        <w:rPr>
          <w:b/>
          <w:bCs/>
        </w:rPr>
        <w:t xml:space="preserve"> Subprogramme 3,</w:t>
      </w:r>
      <w:r w:rsidRPr="00E96905">
        <w:t xml:space="preserve"> </w:t>
      </w:r>
      <w:r w:rsidRPr="00E96905">
        <w:rPr>
          <w:b/>
          <w:bCs/>
        </w:rPr>
        <w:t>Strengthened climate action and improved urban environment</w:t>
      </w:r>
      <w:r w:rsidRPr="00E96905">
        <w:t xml:space="preserve"> (increase of $98,100). These increases are related to the delayed impact of two Programme Management Officer (P-4) posts approved pursuant to General Assembly resolution </w:t>
      </w:r>
      <w:hyperlink r:id="rId84" w:history="1">
        <w:r w:rsidRPr="00E96905">
          <w:rPr>
            <w:rStyle w:val="Hyperlink"/>
          </w:rPr>
          <w:t>75/252</w:t>
        </w:r>
      </w:hyperlink>
      <w:r w:rsidRPr="00E96905">
        <w:t>, which were subject to a 50 per cent vacancy rate in accordance with the established practice for new posts.</w:t>
      </w:r>
    </w:p>
    <w:p w14:paraId="687C88B4" w14:textId="77777777" w:rsidR="003F2E7C" w:rsidRPr="00E96905" w:rsidRDefault="003F2E7C" w:rsidP="003F2E7C">
      <w:pPr>
        <w:pStyle w:val="SingleTxt"/>
        <w:spacing w:after="0" w:line="120" w:lineRule="exact"/>
        <w:rPr>
          <w:sz w:val="10"/>
        </w:rPr>
      </w:pPr>
    </w:p>
    <w:p w14:paraId="0C954FD7"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ab/>
      </w:r>
      <w:r w:rsidRPr="00E96905">
        <w:tab/>
        <w:t xml:space="preserve">New and expanded mandates </w:t>
      </w:r>
    </w:p>
    <w:p w14:paraId="5724948A" w14:textId="77777777" w:rsidR="003F2E7C" w:rsidRPr="00E96905" w:rsidRDefault="003F2E7C" w:rsidP="003F2E7C">
      <w:pPr>
        <w:pStyle w:val="SingleTxt"/>
        <w:spacing w:after="0" w:line="120" w:lineRule="exact"/>
        <w:rPr>
          <w:sz w:val="10"/>
        </w:rPr>
      </w:pPr>
    </w:p>
    <w:p w14:paraId="31635D22" w14:textId="37DE0006"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15.13</w:t>
      </w:r>
      <w:r>
        <w:t>3</w:t>
      </w:r>
      <w:r w:rsidRPr="00E96905">
        <w:tab/>
        <w:t xml:space="preserve">As reflected in table 15.14 (1), resource changes reflect an increase of $597,000, related to the inclusion of non-recurrent requirements for the production of the quadrennial report on progress in the implementation of the New Urban Agenda, in accordance with General Assembly resolution </w:t>
      </w:r>
      <w:hyperlink r:id="rId85" w:history="1">
        <w:r w:rsidRPr="00E96905">
          <w:rPr>
            <w:rStyle w:val="Hyperlink"/>
          </w:rPr>
          <w:t>71/235</w:t>
        </w:r>
      </w:hyperlink>
      <w:r w:rsidRPr="00E96905">
        <w:t xml:space="preserve">. The resources would be utilized to collect and process qualitative, quantitative and spatial data, and to support the synthesis of national reports based on the guidelines for reporting on the implementation of the New Urban Agenda (other staff costs); to provide technical support for data production and expert group sessions on reporting across regions, and to support the organization of various forums at the subnational, national, regional and global levels in order to discuss findings and support the preparation of regional reports on the implementation of the New Urban Agenda (consultants); to review progress in the implementation of the New Urban Agenda and support expert review sessions and the dissemination of the quadrennial report (experts, travel of representatives, travel of staff); to support the production of information, including the production and </w:t>
      </w:r>
      <w:r w:rsidR="00134A90" w:rsidRPr="00134A90">
        <w:t>implementation of awareness-raising activities related to</w:t>
      </w:r>
      <w:r w:rsidR="00134A90">
        <w:t xml:space="preserve"> </w:t>
      </w:r>
      <w:r w:rsidRPr="00E96905">
        <w:t>the quadrennial report (contractual services); and to support the collection of non-traditional data through a variety of platforms and sources, including civil society, academia and online platforms, and to support regional institutions in their efforts to collect qualitative data on the implementation of the New Urban Agenda (grants and contributions). The distribution across the subprogrammes is as follows:</w:t>
      </w:r>
    </w:p>
    <w:p w14:paraId="4BF8A383"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(a)</w:t>
      </w:r>
      <w:r w:rsidRPr="00E96905">
        <w:tab/>
      </w:r>
      <w:r w:rsidRPr="00E96905">
        <w:rPr>
          <w:b/>
          <w:bCs/>
        </w:rPr>
        <w:t>Subprogramme 1, Reduced spatial inequality and poverty in communities across the urban-rural continuum</w:t>
      </w:r>
      <w:r w:rsidRPr="00A86964">
        <w:t>.</w:t>
      </w:r>
      <w:r w:rsidRPr="00E96905">
        <w:t xml:space="preserve"> An increase of $145,000 ($57,500 under other staff costs, $30,000 under consultants, $7,500 under experts, $8,300 under travel of representatives, $29,200 under contractual services and $12,500 under grants and contributions). </w:t>
      </w:r>
    </w:p>
    <w:p w14:paraId="1CA5C158"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(b)</w:t>
      </w:r>
      <w:r w:rsidRPr="00E96905">
        <w:tab/>
      </w:r>
      <w:r w:rsidRPr="00E96905">
        <w:rPr>
          <w:b/>
          <w:bCs/>
        </w:rPr>
        <w:t>Subprogramme 2, Enhanced shared prosperity of cities and regions</w:t>
      </w:r>
      <w:r w:rsidRPr="00A86964">
        <w:t>.</w:t>
      </w:r>
      <w:r w:rsidRPr="00E96905">
        <w:rPr>
          <w:b/>
          <w:bCs/>
        </w:rPr>
        <w:t xml:space="preserve"> </w:t>
      </w:r>
      <w:r w:rsidRPr="00E96905">
        <w:t>An increase of $151,400 ($57,500 under other staff costs, $30,000 under consultants, $7,500 under experts, $11,500 under travel of representatives, $3,100 under travel of staff, $29,300 under contractual services and $12,500 under grants and contributions).</w:t>
      </w:r>
    </w:p>
    <w:p w14:paraId="1DF6FDE6"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(c)</w:t>
      </w:r>
      <w:r w:rsidRPr="00E96905">
        <w:tab/>
      </w:r>
      <w:r w:rsidRPr="00E96905">
        <w:rPr>
          <w:b/>
          <w:bCs/>
        </w:rPr>
        <w:t>Subprogramme 3, Strengthened climate action and improved urban environment</w:t>
      </w:r>
      <w:r w:rsidRPr="00A86964">
        <w:t>.</w:t>
      </w:r>
      <w:r w:rsidRPr="00E96905">
        <w:t xml:space="preserve"> An increase of $150,500 ($57,500 under other staff costs, $30,000 under consultants, $7,500 under experts, $10,300 under travel of representatives, $3,500 under travel of staff, $29,200 under contractual services and $12,500 under grants and contributions).</w:t>
      </w:r>
    </w:p>
    <w:p w14:paraId="27772B7C"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(d)</w:t>
      </w:r>
      <w:r w:rsidRPr="00E96905">
        <w:tab/>
      </w:r>
      <w:r w:rsidRPr="00E96905">
        <w:rPr>
          <w:b/>
          <w:bCs/>
        </w:rPr>
        <w:t>Subprogramme 4, Effective urban crisis prevention and response</w:t>
      </w:r>
      <w:r w:rsidRPr="00A86964">
        <w:t>.</w:t>
      </w:r>
      <w:r w:rsidRPr="00E96905">
        <w:t xml:space="preserve"> An increase of $150,100 ($57,500 under other staff costs, $30,000 under consultants, $7,500 under experts, $9,800 under travel of representatives, $3,500 under travel of staff, $29,300 under contractual services and $12,500 under grants and contributions).</w:t>
      </w:r>
    </w:p>
    <w:p w14:paraId="21CC001A" w14:textId="77777777" w:rsidR="003F2E7C" w:rsidRPr="00E96905" w:rsidRDefault="003F2E7C" w:rsidP="003F2E7C">
      <w:pPr>
        <w:pStyle w:val="SingleTxt"/>
        <w:spacing w:after="0" w:line="120" w:lineRule="exact"/>
        <w:rPr>
          <w:sz w:val="10"/>
        </w:rPr>
      </w:pPr>
    </w:p>
    <w:p w14:paraId="2A2CA6EF"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ab/>
      </w:r>
      <w:r w:rsidRPr="00E96905">
        <w:tab/>
        <w:t xml:space="preserve">Other changes </w:t>
      </w:r>
    </w:p>
    <w:p w14:paraId="0E0CEF3A" w14:textId="77777777" w:rsidR="003F2E7C" w:rsidRPr="00E96905" w:rsidRDefault="003F2E7C" w:rsidP="003F2E7C">
      <w:pPr>
        <w:pStyle w:val="SingleTxt"/>
        <w:spacing w:after="0" w:line="120" w:lineRule="exact"/>
        <w:rPr>
          <w:sz w:val="10"/>
        </w:rPr>
      </w:pPr>
    </w:p>
    <w:p w14:paraId="214233BA"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E96905">
        <w:tab/>
        <w:t>15.13</w:t>
      </w:r>
      <w:r>
        <w:t>4</w:t>
      </w:r>
      <w:r w:rsidRPr="00E96905">
        <w:tab/>
        <w:t>As reflected in table 15.14 (1), the net effect of the proposed changes is cost-neutral; those changes, which mainly affect the operational requirements projected for 2022, reflect practices aimed at building back better. The breakdown of changes is as follows:</w:t>
      </w:r>
    </w:p>
    <w:p w14:paraId="03C72E21" w14:textId="77777777" w:rsidR="003F2E7C" w:rsidRPr="00EF5A7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rPr>
          <w:spacing w:val="2"/>
        </w:rPr>
      </w:pPr>
      <w:r w:rsidRPr="00EF5A7F">
        <w:rPr>
          <w:spacing w:val="2"/>
        </w:rPr>
        <w:tab/>
      </w:r>
      <w:r w:rsidRPr="00EF5A7F">
        <w:rPr>
          <w:spacing w:val="2"/>
        </w:rPr>
        <w:tab/>
        <w:t>(a)</w:t>
      </w:r>
      <w:r w:rsidRPr="00EF5A7F">
        <w:rPr>
          <w:spacing w:val="2"/>
        </w:rPr>
        <w:tab/>
      </w:r>
      <w:r w:rsidRPr="00EF5A7F">
        <w:rPr>
          <w:b/>
          <w:bCs/>
          <w:spacing w:val="2"/>
        </w:rPr>
        <w:t>Executive direction and management</w:t>
      </w:r>
      <w:r w:rsidRPr="00EF5A7F">
        <w:rPr>
          <w:spacing w:val="2"/>
        </w:rPr>
        <w:t>. The net decrease of $125,100 reflects the net effect of:</w:t>
      </w:r>
    </w:p>
    <w:p w14:paraId="0B416D60"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w:t>
      </w:r>
      <w:r w:rsidRPr="00E96905">
        <w:tab/>
        <w:t xml:space="preserve">Outward redeployment of non-post resources in the amount of $125,100 to subprogrammes 1 and 4, following the transfer of external relations functions to the programme of work component, in line with the strategic direction endorsed by Executive </w:t>
      </w:r>
      <w:r w:rsidRPr="00E96905">
        <w:lastRenderedPageBreak/>
        <w:t>Board, which is intended to shift the focus from management to programme activit</w:t>
      </w:r>
      <w:r>
        <w:t>i</w:t>
      </w:r>
      <w:r w:rsidRPr="00E96905">
        <w:t>es. This resulted in decreases under other staff costs ($82,200), consultants ($13,300) and general operating expenses ($29,600);</w:t>
      </w:r>
    </w:p>
    <w:p w14:paraId="680DB6FE"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w:t>
      </w:r>
      <w:r w:rsidRPr="00E96905">
        <w:tab/>
        <w:t>Additional travel resources ($1,900) to attend the Inter-Agency Standing Committee meeting scheduled to take place in Geneva in 2022;</w:t>
      </w:r>
    </w:p>
    <w:p w14:paraId="7132142C"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(iii)</w:t>
      </w:r>
      <w:r w:rsidRPr="00E96905">
        <w:tab/>
        <w:t xml:space="preserve">Decreased rental of furniture, other office equipment and mobile telephony (resulting in a decrease of $4,100 under general operating expenses), and an anticipated reduction in the consumption of office supplies owing to the increased use of flexible work arrangements (resulting in a decrease of $2,000 under stationery and office supplies); </w:t>
      </w:r>
    </w:p>
    <w:p w14:paraId="293CDD63"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(iv)</w:t>
      </w:r>
      <w:r w:rsidRPr="00E96905">
        <w:tab/>
        <w:t xml:space="preserve">Redeployment of $11,700 from general operating expenses to contractual services, following changes in the charging modalities under the service level agreement with the United Nations Office at Nairobi; </w:t>
      </w:r>
    </w:p>
    <w:p w14:paraId="1F05ED1E"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(v)</w:t>
      </w:r>
      <w:r w:rsidRPr="00E96905">
        <w:tab/>
        <w:t xml:space="preserve">Increased requirements for the replacement of office automation equipment in 2022 (resulting in an increase of $4,200 under furniture and equipment). </w:t>
      </w:r>
    </w:p>
    <w:p w14:paraId="41665CAF"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(b)</w:t>
      </w:r>
      <w:r w:rsidRPr="00E96905">
        <w:tab/>
      </w:r>
      <w:r w:rsidRPr="00E96905">
        <w:rPr>
          <w:b/>
          <w:bCs/>
        </w:rPr>
        <w:t>Subprogramme 1</w:t>
      </w:r>
      <w:r w:rsidRPr="00E96905">
        <w:t xml:space="preserve">, </w:t>
      </w:r>
      <w:r w:rsidRPr="00E96905">
        <w:rPr>
          <w:b/>
          <w:bCs/>
        </w:rPr>
        <w:t>Reduced spatial inequality and poverty in communities across the urban-rural continuum</w:t>
      </w:r>
      <w:r w:rsidRPr="00E96905">
        <w:t>. The net increase of $43,800 mainly relates to:</w:t>
      </w:r>
    </w:p>
    <w:p w14:paraId="0EFE75AD"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w:t>
      </w:r>
      <w:r w:rsidRPr="00E96905">
        <w:tab/>
        <w:t>Transfer of external relations functions from the executive direction and management component to the subprogramme, in order to increase the focus on programmatic activities. This resulted in increases of $4,900 under other staff costs, $9,300 under consultants, $25,600 under contractual services and $4,000 under furniture and equipment;</w:t>
      </w:r>
    </w:p>
    <w:p w14:paraId="52F527FE"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w:t>
      </w:r>
      <w:r w:rsidRPr="00E96905">
        <w:tab/>
        <w:t xml:space="preserve">Planned attendance at the high-level meeting of the General Assembly on sustainable urbanization, to be held in New York in 2022, resulting in an increase of $6,900 under travel of staff; </w:t>
      </w:r>
    </w:p>
    <w:p w14:paraId="220C1351"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(iii)</w:t>
      </w:r>
      <w:r w:rsidRPr="00E96905">
        <w:tab/>
        <w:t xml:space="preserve">Higher public information requirements for the production and external printing of flagship reports, including the </w:t>
      </w:r>
      <w:r w:rsidRPr="00A86964">
        <w:rPr>
          <w:i/>
          <w:iCs/>
        </w:rPr>
        <w:t>World Cities Report</w:t>
      </w:r>
      <w:r w:rsidRPr="00E96905">
        <w:t>, which is a cross-cutting report that benefits from the contribution of all subprogrammes. This resulted in an increase of $15,600 under contractual services;</w:t>
      </w:r>
    </w:p>
    <w:p w14:paraId="444DCE50"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(iv)</w:t>
      </w:r>
      <w:r w:rsidRPr="00E96905">
        <w:tab/>
        <w:t>Reduced provisions for miscellaneous services under the service level agreement with the United Nations Office at Nairobi, resulting in a decrease of $19,600 under general operating expenses;</w:t>
      </w:r>
    </w:p>
    <w:p w14:paraId="77F09C44"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(v)</w:t>
      </w:r>
      <w:r w:rsidRPr="00E96905">
        <w:tab/>
        <w:t>Anticipated reduction in the consumption of office supplies owing to the more extensive use of flexible work arrangements, resulting in a decrease of $3,600 under supplies and materials.</w:t>
      </w:r>
    </w:p>
    <w:p w14:paraId="64A7C84C"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(c)</w:t>
      </w:r>
      <w:r w:rsidRPr="00E96905">
        <w:tab/>
      </w:r>
      <w:r w:rsidRPr="00E96905">
        <w:rPr>
          <w:b/>
          <w:bCs/>
        </w:rPr>
        <w:t>Subprogramme 2, Enhanced shared prosperity of cities and regions</w:t>
      </w:r>
      <w:r w:rsidRPr="00E96905">
        <w:t>. The net decrease of $173,400 mainly relates to:</w:t>
      </w:r>
    </w:p>
    <w:p w14:paraId="13BC0585"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w:t>
      </w:r>
      <w:r w:rsidRPr="00E96905">
        <w:tab/>
        <w:t>Proposed outward redeployment of one Programme Management Officer (P-3) post to subprogramme 4, in line with the placement of external relations functions under subprogramme 4. The proposed redeployment to subprogramme 4 is primarily attributable to the recent increase in demand for external relations support for crisis prevention and response, in part owing to the recent developments associated with COVID-19. This redeployment resulted in a decrease of $172,900 under posts;</w:t>
      </w:r>
    </w:p>
    <w:p w14:paraId="2F2C8719"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w:t>
      </w:r>
      <w:r w:rsidRPr="00E96905">
        <w:tab/>
        <w:t>Additional requirements for the development of specialized normative tools to deliver global solutions in the areas of policy, legislation and governance, resulting in an increase of $8,300 under consultants and of $100 under experts;</w:t>
      </w:r>
    </w:p>
    <w:p w14:paraId="5A47A45F"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(iii)</w:t>
      </w:r>
      <w:r w:rsidRPr="00E96905">
        <w:tab/>
        <w:t xml:space="preserve">Reduction of $500 in the requirements under travel of staff. which the Programme plans to achieve through the increased utilization of information and communications </w:t>
      </w:r>
      <w:r w:rsidRPr="00E96905">
        <w:lastRenderedPageBreak/>
        <w:t xml:space="preserve">technology (ICT) in lieu of travel, including the use of virtual teleconferencing facilities to promote remote participation wherever possible; </w:t>
      </w:r>
    </w:p>
    <w:p w14:paraId="0979A5A2"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(iv)</w:t>
      </w:r>
      <w:r w:rsidRPr="00E96905">
        <w:tab/>
        <w:t xml:space="preserve">Higher public information requirements for the production and external printing of flagship reports, including the </w:t>
      </w:r>
      <w:r w:rsidRPr="00E96905">
        <w:rPr>
          <w:i/>
          <w:iCs/>
        </w:rPr>
        <w:t>World Cities Report</w:t>
      </w:r>
      <w:r w:rsidRPr="00E96905">
        <w:t>, which is a cross-cutting report that benefits from the contribution of all subprogrammes. This resulted in an increase of $4,900 under contractual services;</w:t>
      </w:r>
    </w:p>
    <w:p w14:paraId="1AD3F884"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(v)</w:t>
      </w:r>
      <w:r w:rsidRPr="00E96905">
        <w:tab/>
        <w:t>Reduced provisions for miscellaneous expenses under the service level agreement with the United Nations Office at Nairobi, resulting in a decrease of $13,400 under general operating expenses;</w:t>
      </w:r>
    </w:p>
    <w:p w14:paraId="50F1B06D"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(vi)</w:t>
      </w:r>
      <w:r w:rsidRPr="00E96905">
        <w:tab/>
        <w:t xml:space="preserve">Higher stock levels of consumable supplies accumulated in 2020, in line with the lower consumption levels during the pandemic. This change resulted in a decrease of $2,200 in the provision for supplies and materials; </w:t>
      </w:r>
    </w:p>
    <w:p w14:paraId="630A2295"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(vii)</w:t>
      </w:r>
      <w:r w:rsidRPr="00E96905">
        <w:tab/>
        <w:t xml:space="preserve">Additional requirements for the replacement of office automation equipment in 2022, resulting in an increase of $2,200 under furniture and equipment. </w:t>
      </w:r>
    </w:p>
    <w:p w14:paraId="16DD97EE"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(d)</w:t>
      </w:r>
      <w:r w:rsidRPr="00E96905">
        <w:tab/>
      </w:r>
      <w:r w:rsidRPr="00E96905">
        <w:rPr>
          <w:b/>
          <w:bCs/>
        </w:rPr>
        <w:t>Subprogramme 3, Strengthened climate action and improved urban environment</w:t>
      </w:r>
      <w:r w:rsidRPr="00E96905">
        <w:t>. The net decrease of $173,100 mainly relates to the net effect of:</w:t>
      </w:r>
    </w:p>
    <w:p w14:paraId="4E1A4B38"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w:t>
      </w:r>
      <w:r w:rsidRPr="00E96905">
        <w:tab/>
        <w:t>Proposed outward redeployment of one Programme Management Officer (P-3) post to subprogramme 4, in line with the placement of external relations functions under subprogramme 4. The proposed redeployment to subprogramme 4 is primarily attributable to the recent increase in demand for external relations support for crisis prevention and response, in part owing to the recent developments associated with COVID-19. This redeployment resulted in a decrease of $172,900 under posts;</w:t>
      </w:r>
    </w:p>
    <w:p w14:paraId="61C4814D"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w:t>
      </w:r>
      <w:r w:rsidRPr="00E96905">
        <w:tab/>
        <w:t>Reduced requirements for travel to be achieved through the increased utilization of ICT in lieu of travel, including the use of virtual teleconferencing facilities to promote remote participation wherever possible. This change resulted in a decrease under consultants ($2,300) and travel of staff ($3,700);</w:t>
      </w:r>
    </w:p>
    <w:p w14:paraId="4AA15EA2"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(iii)</w:t>
      </w:r>
      <w:r w:rsidRPr="00E96905">
        <w:tab/>
        <w:t xml:space="preserve">Higher public information requirements for the production and external printing of flagship reports, including the </w:t>
      </w:r>
      <w:r w:rsidRPr="00E96905">
        <w:rPr>
          <w:i/>
          <w:iCs/>
        </w:rPr>
        <w:t>World Cities Report</w:t>
      </w:r>
      <w:r w:rsidRPr="00E96905">
        <w:t>, which is a cross-cutting report that benefits from the contribution of all subprogrammes. This resulted in an increase of $2,800 under contractual services;</w:t>
      </w:r>
    </w:p>
    <w:p w14:paraId="2BB849C4"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(iv)</w:t>
      </w:r>
      <w:r w:rsidRPr="00E96905">
        <w:tab/>
        <w:t>Redeployment of $41,000 from general operating expenses to contractual services following changes in the charging modalities under the service level agreement with the United Nations Office at Nairobi;</w:t>
      </w:r>
    </w:p>
    <w:p w14:paraId="57F2A0AB"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(v)</w:t>
      </w:r>
      <w:r w:rsidRPr="00E96905">
        <w:tab/>
        <w:t>Higher stock levels of consumable supplies accumulated in 2020, in line with the lower consumption levels during the pandemic. This change resulted in a decrease of $3,400 in the provision for supplies and materials;</w:t>
      </w:r>
    </w:p>
    <w:p w14:paraId="120AB05E"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(vi)</w:t>
      </w:r>
      <w:r w:rsidRPr="00E96905">
        <w:tab/>
        <w:t>Additional requirements for the replacement of office automation equipment in 2022, resulting in an increase of $6,300 under furniture and equipment.</w:t>
      </w:r>
    </w:p>
    <w:p w14:paraId="3F1CBD5F"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(e)</w:t>
      </w:r>
      <w:r w:rsidRPr="00E96905">
        <w:tab/>
      </w:r>
      <w:r w:rsidRPr="00E96905">
        <w:rPr>
          <w:b/>
          <w:bCs/>
        </w:rPr>
        <w:t>Subprogramme 4, Effective urban crisis prevention and response</w:t>
      </w:r>
      <w:r w:rsidRPr="00E96905">
        <w:t>. The net increase of $427,800 mainly relates to the net effect of:</w:t>
      </w:r>
    </w:p>
    <w:p w14:paraId="4C99BA55"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w:t>
      </w:r>
      <w:r w:rsidRPr="00E96905">
        <w:tab/>
        <w:t xml:space="preserve">Proposed inward redeployment of two Programme Management Officer (P-3) posts from subprogrammes 2 and 3, in line with the placement of external relations functions under subprogramme 4, primarily attributable to the recent increase in demand for external relations support for crisis prevention and response, in part owing to the recent developments associated with COVID-19. This redeployment resulted in an increase of $345,800 under posts. This change is in line with the strategic direction endorsed by the Executive Board and is intended to maximize the effectiveness and progress towards the objectives of all subprogrammes of UN-Habitat. In addition, the consolidation of </w:t>
      </w:r>
      <w:r w:rsidRPr="00E96905">
        <w:lastRenderedPageBreak/>
        <w:t>functions entailed a redeployment from the executive direction and management component to increase the focus on programmatic activities. This change resulted in an increase of $81,300 under other staff costs;</w:t>
      </w:r>
    </w:p>
    <w:p w14:paraId="408E1A08"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w:t>
      </w:r>
      <w:r w:rsidRPr="00E96905">
        <w:tab/>
        <w:t>Reduced requirements for travel to be achieved through the increased utilization of ICT in lieu of travel, including the use of virtual teleconferencing facilities to promote remote participation wherever possible. This change resulted in a decrease under consultants ($2,700) and travel of staff ($4,100);</w:t>
      </w:r>
    </w:p>
    <w:p w14:paraId="268985DE"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(iii)</w:t>
      </w:r>
      <w:r w:rsidRPr="00E96905">
        <w:tab/>
        <w:t xml:space="preserve">Higher public information requirements for the production and external printing of flagship reports, including the </w:t>
      </w:r>
      <w:r w:rsidRPr="00E96905">
        <w:rPr>
          <w:i/>
          <w:iCs/>
        </w:rPr>
        <w:t>World Cities Report</w:t>
      </w:r>
      <w:r w:rsidRPr="00E96905">
        <w:t>, which is a cross-cutting report that benefits from the contribution of all subprogrammes. This resulted in an increase of $6,500 under contractual services</w:t>
      </w:r>
      <w:r>
        <w:t>;</w:t>
      </w:r>
    </w:p>
    <w:p w14:paraId="04E14AC7"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(iv)</w:t>
      </w:r>
      <w:r w:rsidRPr="00E96905">
        <w:tab/>
        <w:t xml:space="preserve">Redeployment of $42,300 from general operating expenses to contractual services following changes in the charging modalities under the service level agreement with the United Nations Office at Nairobi; </w:t>
      </w:r>
    </w:p>
    <w:p w14:paraId="51FE5F73"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(v)</w:t>
      </w:r>
      <w:r w:rsidRPr="00E96905">
        <w:tab/>
        <w:t xml:space="preserve">Higher stock levels of consumable supplies accumulated in 2020, in line with the lower consumption levels during the pandemic. This change resulted in a decrease of $2,100 in the provision for supplies and materials; </w:t>
      </w:r>
    </w:p>
    <w:p w14:paraId="26A0B098"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(vi)</w:t>
      </w:r>
      <w:r w:rsidRPr="00E96905">
        <w:tab/>
        <w:t>Additional requirements for the replacement of office automation equipment in 2022, resulting in an increase of $2,500 under furniture and equipment.</w:t>
      </w:r>
    </w:p>
    <w:p w14:paraId="7DA38DAF"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t>(f)</w:t>
      </w:r>
      <w:r w:rsidRPr="00E96905">
        <w:tab/>
      </w:r>
      <w:r w:rsidRPr="00E96905">
        <w:rPr>
          <w:b/>
          <w:bCs/>
        </w:rPr>
        <w:t>Programme support</w:t>
      </w:r>
      <w:r w:rsidRPr="00E96905">
        <w:t>. The cost neutral changes reflect:</w:t>
      </w:r>
    </w:p>
    <w:p w14:paraId="067F63F2"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w:t>
      </w:r>
      <w:r w:rsidRPr="00E96905">
        <w:tab/>
        <w:t>Reduced requirements for travel to be achieved through the increased utilization of ICT in lieu of travel, including the use of virtual teleconferencing facilities to promote remote participation wherever possible. This change resulted in a decrease under consultants ($1,800);</w:t>
      </w:r>
    </w:p>
    <w:p w14:paraId="6029E7A5"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w:t>
      </w:r>
      <w:r w:rsidRPr="00E96905">
        <w:tab/>
        <w:t>Redeployment of $1,900 from supplies and materials to contractual services ($1,400) and general operating expenses ($500) following changes in the service level agreement with the United Nations Office at Nairobi. The change in the service level agreement is proposed to reflect the increased stock levels of consumable supplies accumulated in 2020, in line with the lower consumption levels during the pandemic, and the anticipated increase in demand for public information services, including external printing;</w:t>
      </w:r>
    </w:p>
    <w:p w14:paraId="42A88FA4"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2218" w:hanging="2218"/>
        <w:jc w:val="both"/>
      </w:pPr>
      <w:r w:rsidRPr="00E96905">
        <w:tab/>
      </w:r>
      <w:r w:rsidRPr="00E96905">
        <w:tab/>
      </w:r>
      <w:r w:rsidRPr="00E96905">
        <w:tab/>
        <w:t>(iii)</w:t>
      </w:r>
      <w:r w:rsidRPr="00E96905">
        <w:tab/>
        <w:t>Additional requirements for the replacement of office automation equipment in 2022, resulting in an increase of $1,800 under furniture and equipment.</w:t>
      </w:r>
    </w:p>
    <w:p w14:paraId="579B533B" w14:textId="77777777" w:rsidR="003F2E7C" w:rsidRPr="00E96905" w:rsidRDefault="003F2E7C" w:rsidP="003F2E7C">
      <w:pPr>
        <w:pStyle w:val="SingleTxt"/>
        <w:spacing w:after="0" w:line="120" w:lineRule="exact"/>
        <w:rPr>
          <w:sz w:val="10"/>
        </w:rPr>
      </w:pPr>
    </w:p>
    <w:p w14:paraId="7CD4D14D" w14:textId="77777777" w:rsidR="003F2E7C" w:rsidRPr="00E96905" w:rsidRDefault="003F2E7C" w:rsidP="003F2E7C">
      <w:pPr>
        <w:pStyle w:val="SingleTxt"/>
        <w:spacing w:after="0" w:line="120" w:lineRule="exact"/>
        <w:rPr>
          <w:sz w:val="10"/>
        </w:rPr>
      </w:pPr>
    </w:p>
    <w:p w14:paraId="0B6E7322" w14:textId="77777777" w:rsidR="003F2E7C" w:rsidRPr="00E96905" w:rsidRDefault="003F2E7C" w:rsidP="003F2E7C">
      <w:pPr>
        <w:pStyle w:val="H1"/>
        <w:ind w:right="1260"/>
      </w:pPr>
      <w:r w:rsidRPr="00E96905">
        <w:tab/>
      </w:r>
      <w:r w:rsidRPr="00E96905">
        <w:tab/>
        <w:t xml:space="preserve">Extrabudgetary resources </w:t>
      </w:r>
    </w:p>
    <w:p w14:paraId="27439214" w14:textId="77777777" w:rsidR="003F2E7C" w:rsidRPr="00E96905" w:rsidRDefault="003F2E7C" w:rsidP="003F2E7C">
      <w:pPr>
        <w:pStyle w:val="SingleTxt"/>
        <w:spacing w:after="0" w:line="120" w:lineRule="exact"/>
        <w:rPr>
          <w:sz w:val="10"/>
        </w:rPr>
      </w:pPr>
    </w:p>
    <w:p w14:paraId="6647E1FB" w14:textId="77777777" w:rsidR="003F2E7C" w:rsidRPr="00E96905" w:rsidRDefault="003F2E7C" w:rsidP="003F2E7C">
      <w:pPr>
        <w:pStyle w:val="SingleTxt"/>
        <w:spacing w:after="0" w:line="120" w:lineRule="exact"/>
        <w:rPr>
          <w:sz w:val="10"/>
        </w:rPr>
      </w:pPr>
    </w:p>
    <w:p w14:paraId="6EB5366B"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15.13</w:t>
      </w:r>
      <w:r>
        <w:t>5</w:t>
      </w:r>
      <w:r w:rsidRPr="00E96905">
        <w:tab/>
        <w:t>As reflected in tables 15.14 (2) and 15.15 (2), UN-Habitat expects to continue to receive both cash and in-kind contributions, which would complement regular budget resources. In 2022, extrabudgetary resources are estimated at $242,174,600 and would provide for 130 posts, as presented in table 15.15 (2).</w:t>
      </w:r>
    </w:p>
    <w:p w14:paraId="38F597B7" w14:textId="3ADB8A2E" w:rsidR="003F2E7C" w:rsidRPr="00E96905" w:rsidRDefault="003F2E7C" w:rsidP="00134A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15.13</w:t>
      </w:r>
      <w:r>
        <w:t>6</w:t>
      </w:r>
      <w:r w:rsidRPr="00E96905">
        <w:tab/>
        <w:t>The resources would be used mainly to carry out technical cooperation projects, at the request of Member States. Examples of such projects include, under subprogramme 1, technical cooperation to be provided for inclusive urban development that benefits all, through the implementation of digital divide assessments in at least four cities and regions in order to devise digital transformation strategies for inclusive urban and regional development and provide on-the-job capacity development and training for local government officials in order to better manage inclusive urban development following the new challenges to basic service provision for all posed by the COVID</w:t>
      </w:r>
      <w:r>
        <w:noBreakHyphen/>
      </w:r>
      <w:r w:rsidRPr="00E96905">
        <w:t xml:space="preserve">19 pandemic. Under subprogramme 2, technical cooperation projects funded from extrabudgetary resources are anticipated in order to facilitate the implementation of the United Nations Innovation Technology Accelerator for Cities, a partnership with the Government of Germany (the city of </w:t>
      </w:r>
      <w:r w:rsidRPr="00E96905">
        <w:lastRenderedPageBreak/>
        <w:t xml:space="preserve">Hamburg) which will provide innovative solutions to tackle key urban challenges (addressing the digital divide, reducing greenhouse gas emissions in cities and ensuring that no one is left behind in decision-making processes in cities), and to prepare strategies for the development of people-centred smart cities in order to reduce the digital divide and improve the quality of life of urban dwellers. Under subprogramme 3, extrabudgetary resources would be used to implement technical cooperation projects with requesting countries in support of increased ambitions to combat climate change at the national and local levels. For example, climate-resilient water supply systems in two districts of the Lao People’s Democratic Republic would provide safe water to almost 60,000 people. Finally, under subprogramme 4, extrabudgetary resources would be used to carry out technical cooperation projects; an example is the ongoing area-based programme aimed at supporting recovery and stability in Iraq through local development (2019–2022), which is being implemented in five cities in partnership with UNDP. The main objective of the </w:t>
      </w:r>
      <w:r w:rsidR="00134A90">
        <w:t xml:space="preserve">programme, which is expected to benefit 700,000 people, </w:t>
      </w:r>
      <w:r w:rsidRPr="00E96905">
        <w:t>is to support the sustainable return of internally displaced persons through the provision of basic services and the improvement of living conditions, with a focus on vocational training and job creation. The demand for technical cooperation projects is estimated to continue to increase, as exemplified by the increase in demand for programmes related to strengthened climate action and improved urban environment, which explains the significant increase under subprogramme 3 ($31,961,900, or 85.1 per cent). The consolidated budget for 2022 for UN-Habitat will be submitted to the Advisory Committee on Administrative and Budgetary Questions for its consideration in June 2021 and to the Executive Board for approval at its September 2021 session. Extrabudgetary resources represent 94.8 per cent of the total resources for UN-Habitat.</w:t>
      </w:r>
    </w:p>
    <w:p w14:paraId="40CA103C"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15.13</w:t>
      </w:r>
      <w:r>
        <w:t>7</w:t>
      </w:r>
      <w:r w:rsidRPr="00E96905">
        <w:tab/>
        <w:t>The extrabudgetary resources under this section are subject to the oversight of the Executive Board, which has delegated authority from the UN-Habitat Assembly.</w:t>
      </w:r>
    </w:p>
    <w:p w14:paraId="22DDB5F3" w14:textId="77777777" w:rsidR="003F2E7C" w:rsidRPr="00FD21D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E99F130" w14:textId="77777777" w:rsidR="003F2E7C" w:rsidRPr="00FD21D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2C683F8" w14:textId="77777777" w:rsidR="003F2E7C" w:rsidRPr="00E96905" w:rsidRDefault="003F2E7C" w:rsidP="003F2E7C">
      <w:pPr>
        <w:pStyle w:val="H1"/>
        <w:ind w:right="1260"/>
      </w:pPr>
      <w:r>
        <w:tab/>
      </w:r>
      <w:r>
        <w:tab/>
      </w:r>
      <w:r w:rsidRPr="00E96905">
        <w:t>Policymaking organs</w:t>
      </w:r>
    </w:p>
    <w:p w14:paraId="74C1B082" w14:textId="77777777" w:rsidR="003F2E7C" w:rsidRPr="00FD21D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59D6F40" w14:textId="77777777" w:rsidR="003F2E7C" w:rsidRPr="00FD21D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3C1C630" w14:textId="5AB3A57E"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15.13</w:t>
      </w:r>
      <w:r>
        <w:t>8</w:t>
      </w:r>
      <w:r w:rsidRPr="00E96905">
        <w:tab/>
        <w:t xml:space="preserve">The resources proposed under this component would provide for requirements relating to the Executive Board and the Committee of Permanent Representatives. In December 2018, the General Assembly adopted resolution </w:t>
      </w:r>
      <w:hyperlink r:id="rId86" w:history="1">
        <w:r w:rsidRPr="00E96905">
          <w:rPr>
            <w:rStyle w:val="Hyperlink"/>
          </w:rPr>
          <w:t>73/239</w:t>
        </w:r>
      </w:hyperlink>
      <w:r w:rsidRPr="00E96905">
        <w:t>, by which it established a new governance structure for UN</w:t>
      </w:r>
      <w:r>
        <w:noBreakHyphen/>
      </w:r>
      <w:r w:rsidRPr="00E96905">
        <w:t>Habitat, consisting of the universal UN-Habitat Assembly, a 36-member Executive Board and a Committee of Permanent Representatives. Table 15.17 provides information on the standing intergovernmental organs and related resource requirements under the regular budget.</w:t>
      </w:r>
    </w:p>
    <w:p w14:paraId="7BDCF467" w14:textId="77777777" w:rsidR="003F2E7C" w:rsidRPr="00FD21D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69912DE" w14:textId="77777777" w:rsidR="003F2E7C" w:rsidRPr="00FD21D8"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FD21D8">
        <w:rPr>
          <w:b w:val="0"/>
          <w:bCs/>
        </w:rPr>
        <w:t>Table 15.17</w:t>
      </w:r>
    </w:p>
    <w:p w14:paraId="1975CDCE"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Policymaking organs</w:t>
      </w:r>
    </w:p>
    <w:p w14:paraId="576514AD" w14:textId="77777777" w:rsidR="003F2E7C" w:rsidRPr="00FD21D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hanging="1267"/>
        <w:jc w:val="both"/>
        <w:rPr>
          <w:sz w:val="14"/>
          <w:szCs w:val="14"/>
        </w:rPr>
      </w:pPr>
      <w:r w:rsidRPr="00FD21D8">
        <w:rPr>
          <w:sz w:val="14"/>
          <w:szCs w:val="14"/>
        </w:rPr>
        <w:t>(Thousands of United States dollars)</w:t>
      </w:r>
    </w:p>
    <w:p w14:paraId="5BD71D91" w14:textId="77777777" w:rsidR="003F2E7C" w:rsidRPr="00FD21D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6963304" w14:textId="77777777" w:rsidR="003F2E7C" w:rsidRPr="00FD21D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611"/>
        <w:gridCol w:w="3870"/>
        <w:gridCol w:w="2493"/>
        <w:gridCol w:w="1062"/>
        <w:gridCol w:w="814"/>
      </w:tblGrid>
      <w:tr w:rsidR="003F2E7C" w:rsidRPr="007879A2" w14:paraId="1895005C" w14:textId="77777777" w:rsidTr="00EF5A7F">
        <w:trPr>
          <w:tblHeader/>
        </w:trPr>
        <w:tc>
          <w:tcPr>
            <w:tcW w:w="1611" w:type="dxa"/>
            <w:tcBorders>
              <w:top w:val="single" w:sz="4" w:space="0" w:color="auto"/>
              <w:bottom w:val="single" w:sz="12" w:space="0" w:color="auto"/>
            </w:tcBorders>
            <w:shd w:val="clear" w:color="auto" w:fill="auto"/>
            <w:vAlign w:val="bottom"/>
          </w:tcPr>
          <w:p w14:paraId="2B301D83" w14:textId="77777777" w:rsidR="003F2E7C" w:rsidRPr="007879A2" w:rsidRDefault="003F2E7C" w:rsidP="00206464">
            <w:pPr>
              <w:spacing w:before="81" w:after="81" w:line="160" w:lineRule="exact"/>
              <w:ind w:right="40"/>
              <w:jc w:val="both"/>
              <w:rPr>
                <w:i/>
                <w:sz w:val="14"/>
              </w:rPr>
            </w:pPr>
            <w:r w:rsidRPr="007879A2">
              <w:rPr>
                <w:i/>
                <w:sz w:val="14"/>
              </w:rPr>
              <w:t>Policymaking organ</w:t>
            </w:r>
          </w:p>
        </w:tc>
        <w:tc>
          <w:tcPr>
            <w:tcW w:w="3870" w:type="dxa"/>
            <w:tcBorders>
              <w:top w:val="single" w:sz="4" w:space="0" w:color="auto"/>
              <w:bottom w:val="single" w:sz="12" w:space="0" w:color="auto"/>
            </w:tcBorders>
            <w:shd w:val="clear" w:color="auto" w:fill="auto"/>
            <w:vAlign w:val="bottom"/>
          </w:tcPr>
          <w:p w14:paraId="6FE8E422" w14:textId="77777777" w:rsidR="003F2E7C" w:rsidRPr="007879A2" w:rsidRDefault="003F2E7C" w:rsidP="00206464">
            <w:pPr>
              <w:spacing w:before="81" w:after="81" w:line="160" w:lineRule="exact"/>
              <w:ind w:left="144" w:right="40"/>
              <w:rPr>
                <w:i/>
                <w:sz w:val="14"/>
              </w:rPr>
            </w:pPr>
            <w:r w:rsidRPr="007879A2">
              <w:rPr>
                <w:i/>
                <w:sz w:val="14"/>
              </w:rPr>
              <w:t>Description</w:t>
            </w:r>
          </w:p>
        </w:tc>
        <w:tc>
          <w:tcPr>
            <w:tcW w:w="2493" w:type="dxa"/>
            <w:tcBorders>
              <w:top w:val="single" w:sz="4" w:space="0" w:color="auto"/>
              <w:bottom w:val="single" w:sz="12" w:space="0" w:color="auto"/>
            </w:tcBorders>
            <w:shd w:val="clear" w:color="auto" w:fill="auto"/>
            <w:vAlign w:val="bottom"/>
          </w:tcPr>
          <w:p w14:paraId="5484D95F" w14:textId="77777777" w:rsidR="003F2E7C" w:rsidRPr="007879A2" w:rsidRDefault="003F2E7C" w:rsidP="00206464">
            <w:pPr>
              <w:spacing w:before="81" w:after="81" w:line="160" w:lineRule="exact"/>
              <w:ind w:left="144" w:right="40"/>
              <w:rPr>
                <w:i/>
                <w:sz w:val="14"/>
              </w:rPr>
            </w:pPr>
            <w:r w:rsidRPr="007879A2">
              <w:rPr>
                <w:i/>
                <w:sz w:val="14"/>
              </w:rPr>
              <w:t>Additional info</w:t>
            </w:r>
          </w:p>
        </w:tc>
        <w:tc>
          <w:tcPr>
            <w:tcW w:w="1062" w:type="dxa"/>
            <w:tcBorders>
              <w:top w:val="single" w:sz="4" w:space="0" w:color="auto"/>
              <w:bottom w:val="single" w:sz="12" w:space="0" w:color="auto"/>
            </w:tcBorders>
            <w:shd w:val="clear" w:color="auto" w:fill="auto"/>
            <w:vAlign w:val="bottom"/>
          </w:tcPr>
          <w:p w14:paraId="0793F672" w14:textId="77777777" w:rsidR="003F2E7C" w:rsidRPr="007879A2" w:rsidRDefault="003F2E7C" w:rsidP="00206464">
            <w:pPr>
              <w:spacing w:before="81" w:after="81" w:line="160" w:lineRule="exact"/>
              <w:ind w:left="144" w:right="40"/>
              <w:jc w:val="right"/>
              <w:rPr>
                <w:i/>
                <w:sz w:val="14"/>
              </w:rPr>
            </w:pPr>
            <w:r w:rsidRPr="007879A2">
              <w:rPr>
                <w:i/>
                <w:sz w:val="14"/>
              </w:rPr>
              <w:t>2021 appropriation</w:t>
            </w:r>
          </w:p>
        </w:tc>
        <w:tc>
          <w:tcPr>
            <w:tcW w:w="814" w:type="dxa"/>
            <w:tcBorders>
              <w:top w:val="single" w:sz="4" w:space="0" w:color="auto"/>
              <w:bottom w:val="single" w:sz="12" w:space="0" w:color="auto"/>
            </w:tcBorders>
            <w:shd w:val="clear" w:color="auto" w:fill="auto"/>
            <w:vAlign w:val="bottom"/>
          </w:tcPr>
          <w:p w14:paraId="52621A3A" w14:textId="77777777" w:rsidR="003F2E7C" w:rsidRPr="007879A2" w:rsidRDefault="003F2E7C" w:rsidP="00206464">
            <w:pPr>
              <w:spacing w:before="81" w:after="81" w:line="160" w:lineRule="exact"/>
              <w:ind w:left="144" w:right="40"/>
              <w:jc w:val="right"/>
              <w:rPr>
                <w:i/>
                <w:sz w:val="14"/>
              </w:rPr>
            </w:pPr>
            <w:r w:rsidRPr="007879A2">
              <w:rPr>
                <w:i/>
                <w:sz w:val="14"/>
              </w:rPr>
              <w:t>2022 estimate (before recosting)</w:t>
            </w:r>
          </w:p>
        </w:tc>
      </w:tr>
      <w:tr w:rsidR="003F2E7C" w:rsidRPr="007879A2" w14:paraId="4EA4921B" w14:textId="77777777" w:rsidTr="00EF5A7F">
        <w:trPr>
          <w:trHeight w:hRule="exact" w:val="115"/>
          <w:tblHeader/>
        </w:trPr>
        <w:tc>
          <w:tcPr>
            <w:tcW w:w="1611" w:type="dxa"/>
            <w:tcBorders>
              <w:top w:val="single" w:sz="12" w:space="0" w:color="auto"/>
            </w:tcBorders>
            <w:shd w:val="clear" w:color="auto" w:fill="auto"/>
            <w:vAlign w:val="bottom"/>
          </w:tcPr>
          <w:p w14:paraId="273B825F" w14:textId="77777777" w:rsidR="003F2E7C" w:rsidRPr="007879A2" w:rsidRDefault="003F2E7C" w:rsidP="00206464">
            <w:pPr>
              <w:spacing w:before="40" w:after="40" w:line="210" w:lineRule="exact"/>
              <w:ind w:right="40"/>
              <w:jc w:val="both"/>
              <w:rPr>
                <w:sz w:val="17"/>
              </w:rPr>
            </w:pPr>
          </w:p>
        </w:tc>
        <w:tc>
          <w:tcPr>
            <w:tcW w:w="3870" w:type="dxa"/>
            <w:tcBorders>
              <w:top w:val="single" w:sz="12" w:space="0" w:color="auto"/>
            </w:tcBorders>
            <w:shd w:val="clear" w:color="auto" w:fill="auto"/>
            <w:vAlign w:val="bottom"/>
          </w:tcPr>
          <w:p w14:paraId="31052BC9" w14:textId="77777777" w:rsidR="003F2E7C" w:rsidRPr="007879A2" w:rsidRDefault="003F2E7C" w:rsidP="00206464">
            <w:pPr>
              <w:spacing w:before="40" w:after="40" w:line="210" w:lineRule="exact"/>
              <w:ind w:left="144" w:right="40"/>
              <w:jc w:val="right"/>
              <w:rPr>
                <w:sz w:val="17"/>
              </w:rPr>
            </w:pPr>
          </w:p>
        </w:tc>
        <w:tc>
          <w:tcPr>
            <w:tcW w:w="2493" w:type="dxa"/>
            <w:tcBorders>
              <w:top w:val="single" w:sz="12" w:space="0" w:color="auto"/>
            </w:tcBorders>
            <w:shd w:val="clear" w:color="auto" w:fill="auto"/>
            <w:vAlign w:val="bottom"/>
          </w:tcPr>
          <w:p w14:paraId="2E6D9D7B" w14:textId="77777777" w:rsidR="003F2E7C" w:rsidRPr="007879A2" w:rsidRDefault="003F2E7C" w:rsidP="00206464">
            <w:pPr>
              <w:spacing w:before="40" w:after="40" w:line="210" w:lineRule="exact"/>
              <w:ind w:left="144" w:right="40"/>
              <w:jc w:val="right"/>
              <w:rPr>
                <w:sz w:val="17"/>
              </w:rPr>
            </w:pPr>
          </w:p>
        </w:tc>
        <w:tc>
          <w:tcPr>
            <w:tcW w:w="1062" w:type="dxa"/>
            <w:tcBorders>
              <w:top w:val="single" w:sz="12" w:space="0" w:color="auto"/>
            </w:tcBorders>
            <w:shd w:val="clear" w:color="auto" w:fill="auto"/>
            <w:vAlign w:val="bottom"/>
          </w:tcPr>
          <w:p w14:paraId="3E3F3AE5" w14:textId="77777777" w:rsidR="003F2E7C" w:rsidRPr="007879A2" w:rsidRDefault="003F2E7C" w:rsidP="00206464">
            <w:pPr>
              <w:spacing w:before="40" w:after="40" w:line="210" w:lineRule="exact"/>
              <w:ind w:left="144" w:right="40"/>
              <w:jc w:val="right"/>
              <w:rPr>
                <w:sz w:val="17"/>
              </w:rPr>
            </w:pPr>
          </w:p>
        </w:tc>
        <w:tc>
          <w:tcPr>
            <w:tcW w:w="814" w:type="dxa"/>
            <w:tcBorders>
              <w:top w:val="single" w:sz="12" w:space="0" w:color="auto"/>
            </w:tcBorders>
            <w:shd w:val="clear" w:color="auto" w:fill="auto"/>
            <w:vAlign w:val="bottom"/>
          </w:tcPr>
          <w:p w14:paraId="1AC33A69" w14:textId="77777777" w:rsidR="003F2E7C" w:rsidRPr="007879A2" w:rsidRDefault="003F2E7C" w:rsidP="00206464">
            <w:pPr>
              <w:spacing w:before="40" w:after="40" w:line="210" w:lineRule="exact"/>
              <w:ind w:left="144" w:right="40"/>
              <w:jc w:val="right"/>
              <w:rPr>
                <w:sz w:val="17"/>
              </w:rPr>
            </w:pPr>
          </w:p>
        </w:tc>
      </w:tr>
      <w:tr w:rsidR="003F2E7C" w:rsidRPr="007879A2" w14:paraId="54A502C1" w14:textId="77777777" w:rsidTr="00EF5A7F">
        <w:tc>
          <w:tcPr>
            <w:tcW w:w="1611" w:type="dxa"/>
            <w:vMerge w:val="restart"/>
            <w:shd w:val="clear" w:color="auto" w:fill="auto"/>
          </w:tcPr>
          <w:p w14:paraId="1A85E5FC" w14:textId="77777777" w:rsidR="003F2E7C" w:rsidRPr="007879A2" w:rsidRDefault="003F2E7C" w:rsidP="00206464">
            <w:pPr>
              <w:tabs>
                <w:tab w:val="left" w:pos="288"/>
                <w:tab w:val="left" w:pos="576"/>
                <w:tab w:val="left" w:pos="864"/>
                <w:tab w:val="left" w:pos="1152"/>
              </w:tabs>
              <w:spacing w:before="40" w:after="40" w:line="210" w:lineRule="exact"/>
              <w:ind w:right="40"/>
              <w:rPr>
                <w:sz w:val="17"/>
              </w:rPr>
            </w:pPr>
            <w:r w:rsidRPr="007879A2">
              <w:rPr>
                <w:sz w:val="17"/>
              </w:rPr>
              <w:t>UN-Habitat Assembly</w:t>
            </w:r>
          </w:p>
        </w:tc>
        <w:tc>
          <w:tcPr>
            <w:tcW w:w="3870" w:type="dxa"/>
            <w:vMerge w:val="restart"/>
            <w:shd w:val="clear" w:color="auto" w:fill="auto"/>
          </w:tcPr>
          <w:p w14:paraId="1DD4B5A9"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Provides policy guidance on human settlements and sustainable urbanization and strategic oversight of UN-Habitat. It approves the UN</w:t>
            </w:r>
            <w:r>
              <w:rPr>
                <w:sz w:val="17"/>
              </w:rPr>
              <w:noBreakHyphen/>
            </w:r>
            <w:r w:rsidRPr="007879A2">
              <w:rPr>
                <w:sz w:val="17"/>
              </w:rPr>
              <w:t>Habitat four-year strategic plan. It reports every four years on its work to the General Assembly through the Economic and Social Council at its substantive session. It meets every four years for five days. Its first session was held in May 2019; the next will be held in June 2023.</w:t>
            </w:r>
          </w:p>
        </w:tc>
        <w:tc>
          <w:tcPr>
            <w:tcW w:w="2493" w:type="dxa"/>
            <w:shd w:val="clear" w:color="auto" w:fill="auto"/>
          </w:tcPr>
          <w:p w14:paraId="0449E851" w14:textId="21169482"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 xml:space="preserve">Mandate: General Assembly resolution </w:t>
            </w:r>
            <w:hyperlink r:id="rId87" w:history="1">
              <w:r w:rsidRPr="007879A2">
                <w:rPr>
                  <w:rStyle w:val="Hyperlink"/>
                  <w:sz w:val="17"/>
                </w:rPr>
                <w:t>73/239</w:t>
              </w:r>
            </w:hyperlink>
            <w:r w:rsidRPr="007879A2">
              <w:rPr>
                <w:sz w:val="17"/>
              </w:rPr>
              <w:t xml:space="preserve"> and note by the Secretary-General (</w:t>
            </w:r>
            <w:hyperlink r:id="rId88" w:history="1">
              <w:r w:rsidRPr="007879A2">
                <w:rPr>
                  <w:rStyle w:val="Hyperlink"/>
                  <w:sz w:val="17"/>
                </w:rPr>
                <w:t>A/73/726</w:t>
              </w:r>
            </w:hyperlink>
            <w:r w:rsidRPr="007879A2">
              <w:rPr>
                <w:sz w:val="17"/>
              </w:rPr>
              <w:t>)</w:t>
            </w:r>
          </w:p>
        </w:tc>
        <w:tc>
          <w:tcPr>
            <w:tcW w:w="1062" w:type="dxa"/>
            <w:vMerge w:val="restart"/>
            <w:shd w:val="clear" w:color="auto" w:fill="auto"/>
          </w:tcPr>
          <w:p w14:paraId="22622FB0"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r w:rsidRPr="007879A2">
              <w:rPr>
                <w:sz w:val="17"/>
              </w:rPr>
              <w:t>590.2</w:t>
            </w:r>
          </w:p>
        </w:tc>
        <w:tc>
          <w:tcPr>
            <w:tcW w:w="814" w:type="dxa"/>
            <w:vMerge w:val="restart"/>
            <w:shd w:val="clear" w:color="auto" w:fill="auto"/>
          </w:tcPr>
          <w:p w14:paraId="2BCC389F"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r w:rsidRPr="007879A2">
              <w:rPr>
                <w:sz w:val="17"/>
              </w:rPr>
              <w:t>590.2</w:t>
            </w:r>
          </w:p>
        </w:tc>
      </w:tr>
      <w:tr w:rsidR="003F2E7C" w:rsidRPr="007879A2" w14:paraId="3CF80232" w14:textId="77777777" w:rsidTr="00EF5A7F">
        <w:tc>
          <w:tcPr>
            <w:tcW w:w="1611" w:type="dxa"/>
            <w:vMerge/>
            <w:shd w:val="clear" w:color="auto" w:fill="auto"/>
          </w:tcPr>
          <w:p w14:paraId="59677B88" w14:textId="77777777" w:rsidR="003F2E7C" w:rsidRPr="007879A2" w:rsidRDefault="003F2E7C" w:rsidP="00206464">
            <w:pPr>
              <w:tabs>
                <w:tab w:val="left" w:pos="288"/>
                <w:tab w:val="left" w:pos="576"/>
                <w:tab w:val="left" w:pos="864"/>
                <w:tab w:val="left" w:pos="1152"/>
              </w:tabs>
              <w:spacing w:before="40" w:after="40" w:line="210" w:lineRule="exact"/>
              <w:ind w:right="40"/>
              <w:rPr>
                <w:sz w:val="17"/>
              </w:rPr>
            </w:pPr>
          </w:p>
        </w:tc>
        <w:tc>
          <w:tcPr>
            <w:tcW w:w="3870" w:type="dxa"/>
            <w:vMerge/>
            <w:shd w:val="clear" w:color="auto" w:fill="auto"/>
          </w:tcPr>
          <w:p w14:paraId="71FAECF1"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p>
        </w:tc>
        <w:tc>
          <w:tcPr>
            <w:tcW w:w="2493" w:type="dxa"/>
            <w:shd w:val="clear" w:color="auto" w:fill="auto"/>
          </w:tcPr>
          <w:p w14:paraId="4260BFE7"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UN-Habitat Assembly rules of procedure</w:t>
            </w:r>
          </w:p>
        </w:tc>
        <w:tc>
          <w:tcPr>
            <w:tcW w:w="1062" w:type="dxa"/>
            <w:vMerge/>
            <w:shd w:val="clear" w:color="auto" w:fill="auto"/>
            <w:vAlign w:val="bottom"/>
          </w:tcPr>
          <w:p w14:paraId="14AEDF8E"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14" w:type="dxa"/>
            <w:vMerge/>
            <w:shd w:val="clear" w:color="auto" w:fill="auto"/>
            <w:vAlign w:val="bottom"/>
          </w:tcPr>
          <w:p w14:paraId="13C30DE0"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3F2E7C" w:rsidRPr="007879A2" w14:paraId="77D12F24" w14:textId="77777777" w:rsidTr="00EF5A7F">
        <w:tc>
          <w:tcPr>
            <w:tcW w:w="1611" w:type="dxa"/>
            <w:vMerge/>
            <w:shd w:val="clear" w:color="auto" w:fill="auto"/>
          </w:tcPr>
          <w:p w14:paraId="11791E5F" w14:textId="77777777" w:rsidR="003F2E7C" w:rsidRPr="007879A2" w:rsidRDefault="003F2E7C" w:rsidP="00206464">
            <w:pPr>
              <w:tabs>
                <w:tab w:val="left" w:pos="288"/>
                <w:tab w:val="left" w:pos="576"/>
                <w:tab w:val="left" w:pos="864"/>
                <w:tab w:val="left" w:pos="1152"/>
              </w:tabs>
              <w:spacing w:before="40" w:after="40" w:line="210" w:lineRule="exact"/>
              <w:ind w:right="40"/>
              <w:rPr>
                <w:sz w:val="17"/>
              </w:rPr>
            </w:pPr>
          </w:p>
        </w:tc>
        <w:tc>
          <w:tcPr>
            <w:tcW w:w="3870" w:type="dxa"/>
            <w:vMerge/>
            <w:shd w:val="clear" w:color="auto" w:fill="auto"/>
          </w:tcPr>
          <w:p w14:paraId="6E8ECCB2"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p>
        </w:tc>
        <w:tc>
          <w:tcPr>
            <w:tcW w:w="2493" w:type="dxa"/>
            <w:shd w:val="clear" w:color="auto" w:fill="auto"/>
          </w:tcPr>
          <w:p w14:paraId="774FAC9E"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Membership: 193 government officials</w:t>
            </w:r>
          </w:p>
        </w:tc>
        <w:tc>
          <w:tcPr>
            <w:tcW w:w="1062" w:type="dxa"/>
            <w:vMerge/>
            <w:shd w:val="clear" w:color="auto" w:fill="auto"/>
            <w:vAlign w:val="bottom"/>
          </w:tcPr>
          <w:p w14:paraId="469E0F3A"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14" w:type="dxa"/>
            <w:vMerge/>
            <w:shd w:val="clear" w:color="auto" w:fill="auto"/>
            <w:vAlign w:val="bottom"/>
          </w:tcPr>
          <w:p w14:paraId="38BAF837"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3F2E7C" w:rsidRPr="007879A2" w14:paraId="391B69BC" w14:textId="77777777" w:rsidTr="00EF5A7F">
        <w:tc>
          <w:tcPr>
            <w:tcW w:w="1611" w:type="dxa"/>
            <w:vMerge/>
            <w:shd w:val="clear" w:color="auto" w:fill="auto"/>
          </w:tcPr>
          <w:p w14:paraId="2F0A7E20" w14:textId="77777777" w:rsidR="003F2E7C" w:rsidRPr="007879A2" w:rsidRDefault="003F2E7C" w:rsidP="00206464">
            <w:pPr>
              <w:tabs>
                <w:tab w:val="left" w:pos="288"/>
                <w:tab w:val="left" w:pos="576"/>
                <w:tab w:val="left" w:pos="864"/>
                <w:tab w:val="left" w:pos="1152"/>
              </w:tabs>
              <w:spacing w:before="40" w:after="40" w:line="210" w:lineRule="exact"/>
              <w:ind w:right="40"/>
              <w:rPr>
                <w:sz w:val="17"/>
              </w:rPr>
            </w:pPr>
          </w:p>
        </w:tc>
        <w:tc>
          <w:tcPr>
            <w:tcW w:w="3870" w:type="dxa"/>
            <w:vMerge/>
            <w:shd w:val="clear" w:color="auto" w:fill="auto"/>
          </w:tcPr>
          <w:p w14:paraId="409569D1"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p>
        </w:tc>
        <w:tc>
          <w:tcPr>
            <w:tcW w:w="2493" w:type="dxa"/>
            <w:shd w:val="clear" w:color="auto" w:fill="auto"/>
          </w:tcPr>
          <w:p w14:paraId="3F0948BF"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Number of sessions in 2022: none</w:t>
            </w:r>
          </w:p>
        </w:tc>
        <w:tc>
          <w:tcPr>
            <w:tcW w:w="1062" w:type="dxa"/>
            <w:vMerge/>
            <w:shd w:val="clear" w:color="auto" w:fill="auto"/>
            <w:vAlign w:val="bottom"/>
          </w:tcPr>
          <w:p w14:paraId="6238AEB6"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14" w:type="dxa"/>
            <w:vMerge/>
            <w:shd w:val="clear" w:color="auto" w:fill="auto"/>
            <w:vAlign w:val="bottom"/>
          </w:tcPr>
          <w:p w14:paraId="33936877"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3F2E7C" w:rsidRPr="007879A2" w14:paraId="21BF679B" w14:textId="77777777" w:rsidTr="00EF5A7F">
        <w:tc>
          <w:tcPr>
            <w:tcW w:w="1611" w:type="dxa"/>
            <w:vMerge w:val="restart"/>
            <w:shd w:val="clear" w:color="auto" w:fill="auto"/>
          </w:tcPr>
          <w:p w14:paraId="6BB4163B" w14:textId="77777777" w:rsidR="003F2E7C" w:rsidRPr="007879A2" w:rsidRDefault="003F2E7C" w:rsidP="00206464">
            <w:pPr>
              <w:tabs>
                <w:tab w:val="left" w:pos="288"/>
                <w:tab w:val="left" w:pos="576"/>
                <w:tab w:val="left" w:pos="864"/>
                <w:tab w:val="left" w:pos="1152"/>
              </w:tabs>
              <w:spacing w:before="40" w:after="40" w:line="210" w:lineRule="exact"/>
              <w:ind w:right="40"/>
              <w:rPr>
                <w:sz w:val="17"/>
              </w:rPr>
            </w:pPr>
            <w:r w:rsidRPr="007879A2">
              <w:rPr>
                <w:sz w:val="17"/>
              </w:rPr>
              <w:lastRenderedPageBreak/>
              <w:t>Committee of Permanent Representatives</w:t>
            </w:r>
          </w:p>
        </w:tc>
        <w:tc>
          <w:tcPr>
            <w:tcW w:w="3870" w:type="dxa"/>
            <w:vMerge w:val="restart"/>
            <w:shd w:val="clear" w:color="auto" w:fill="auto"/>
          </w:tcPr>
          <w:p w14:paraId="76C5B377" w14:textId="1530AE1C" w:rsidR="003F2E7C" w:rsidRPr="007879A2" w:rsidRDefault="003F2E7C" w:rsidP="00EF5A7F">
            <w:pPr>
              <w:keepNext/>
              <w:keepLines/>
              <w:tabs>
                <w:tab w:val="left" w:pos="288"/>
                <w:tab w:val="left" w:pos="576"/>
                <w:tab w:val="left" w:pos="864"/>
                <w:tab w:val="left" w:pos="1152"/>
              </w:tabs>
              <w:spacing w:before="40" w:after="40" w:line="210" w:lineRule="exact"/>
              <w:ind w:left="144" w:right="43"/>
              <w:rPr>
                <w:sz w:val="17"/>
              </w:rPr>
            </w:pPr>
            <w:r w:rsidRPr="007879A2">
              <w:rPr>
                <w:sz w:val="17"/>
              </w:rPr>
              <w:t>Permanent intersessional subsidiary body of the UN-Habitat Assembly. It is responsible for a high-level midterm review of the implementation of UN</w:t>
            </w:r>
            <w:r>
              <w:rPr>
                <w:sz w:val="17"/>
              </w:rPr>
              <w:noBreakHyphen/>
            </w:r>
            <w:r w:rsidRPr="007879A2">
              <w:rPr>
                <w:sz w:val="17"/>
              </w:rPr>
              <w:t>Habitat Assembly decisions and resolutions and of the UN-Habitat strategic plan, and for preparing for the next session of the UN</w:t>
            </w:r>
            <w:r w:rsidR="00EF5A7F">
              <w:rPr>
                <w:sz w:val="17"/>
              </w:rPr>
              <w:noBreakHyphen/>
            </w:r>
            <w:r w:rsidRPr="007879A2">
              <w:rPr>
                <w:sz w:val="17"/>
              </w:rPr>
              <w:t>Habitat Assembly. It meets twice every four years: once prior to the UN</w:t>
            </w:r>
            <w:r>
              <w:rPr>
                <w:sz w:val="17"/>
              </w:rPr>
              <w:noBreakHyphen/>
            </w:r>
            <w:r w:rsidRPr="007879A2">
              <w:rPr>
                <w:sz w:val="17"/>
              </w:rPr>
              <w:t>Habitat Assembly session, in preparation for that session, and a second time for a high-level midterm review. The first high-level midterm review will be held from 29 June to 1</w:t>
            </w:r>
            <w:r>
              <w:rPr>
                <w:sz w:val="17"/>
              </w:rPr>
              <w:t> </w:t>
            </w:r>
            <w:r w:rsidRPr="007879A2">
              <w:rPr>
                <w:sz w:val="17"/>
              </w:rPr>
              <w:t>July 2021.</w:t>
            </w:r>
          </w:p>
        </w:tc>
        <w:tc>
          <w:tcPr>
            <w:tcW w:w="2493" w:type="dxa"/>
            <w:shd w:val="clear" w:color="auto" w:fill="auto"/>
          </w:tcPr>
          <w:p w14:paraId="1982DAF0" w14:textId="01C5E0D5" w:rsidR="003F2E7C" w:rsidRPr="007879A2" w:rsidRDefault="003F2E7C" w:rsidP="00EF5A7F">
            <w:pPr>
              <w:keepNext/>
              <w:keepLines/>
              <w:tabs>
                <w:tab w:val="left" w:pos="288"/>
                <w:tab w:val="left" w:pos="576"/>
                <w:tab w:val="left" w:pos="864"/>
                <w:tab w:val="left" w:pos="1152"/>
              </w:tabs>
              <w:spacing w:before="40" w:after="40" w:line="210" w:lineRule="exact"/>
              <w:ind w:left="144" w:right="43"/>
              <w:rPr>
                <w:sz w:val="17"/>
              </w:rPr>
            </w:pPr>
            <w:r w:rsidRPr="007879A2">
              <w:rPr>
                <w:sz w:val="17"/>
              </w:rPr>
              <w:t>Mandate: General Assembly resolution</w:t>
            </w:r>
            <w:r>
              <w:rPr>
                <w:sz w:val="17"/>
              </w:rPr>
              <w:t>s</w:t>
            </w:r>
            <w:r w:rsidRPr="007879A2">
              <w:rPr>
                <w:sz w:val="17"/>
              </w:rPr>
              <w:t xml:space="preserve"> </w:t>
            </w:r>
            <w:hyperlink r:id="rId89" w:history="1">
              <w:r w:rsidRPr="007879A2">
                <w:rPr>
                  <w:rStyle w:val="Hyperlink"/>
                  <w:sz w:val="17"/>
                </w:rPr>
                <w:t>73/239</w:t>
              </w:r>
            </w:hyperlink>
            <w:r w:rsidRPr="007879A2">
              <w:rPr>
                <w:sz w:val="17"/>
              </w:rPr>
              <w:t xml:space="preserve"> and </w:t>
            </w:r>
            <w:hyperlink r:id="rId90" w:history="1">
              <w:r w:rsidRPr="007879A2">
                <w:rPr>
                  <w:rStyle w:val="Hyperlink"/>
                  <w:sz w:val="17"/>
                </w:rPr>
                <w:t>56/206</w:t>
              </w:r>
            </w:hyperlink>
            <w:r w:rsidRPr="007879A2">
              <w:rPr>
                <w:sz w:val="17"/>
              </w:rPr>
              <w:t xml:space="preserve"> and note by the Secretary-General (</w:t>
            </w:r>
            <w:hyperlink r:id="rId91" w:history="1">
              <w:r w:rsidRPr="007879A2">
                <w:rPr>
                  <w:rStyle w:val="Hyperlink"/>
                  <w:sz w:val="17"/>
                </w:rPr>
                <w:t>A/73/726</w:t>
              </w:r>
            </w:hyperlink>
            <w:r w:rsidRPr="007879A2">
              <w:rPr>
                <w:sz w:val="17"/>
              </w:rPr>
              <w:t>)</w:t>
            </w:r>
          </w:p>
        </w:tc>
        <w:tc>
          <w:tcPr>
            <w:tcW w:w="1062" w:type="dxa"/>
            <w:vMerge w:val="restart"/>
            <w:shd w:val="clear" w:color="auto" w:fill="auto"/>
          </w:tcPr>
          <w:p w14:paraId="4C15E2A8" w14:textId="77777777" w:rsidR="003F2E7C" w:rsidRPr="007879A2" w:rsidRDefault="003F2E7C" w:rsidP="00EF5A7F">
            <w:pPr>
              <w:keepNext/>
              <w:keepLines/>
              <w:tabs>
                <w:tab w:val="left" w:pos="288"/>
                <w:tab w:val="left" w:pos="576"/>
                <w:tab w:val="left" w:pos="864"/>
                <w:tab w:val="left" w:pos="1152"/>
              </w:tabs>
              <w:spacing w:before="40" w:after="40" w:line="210" w:lineRule="exact"/>
              <w:ind w:left="144" w:right="43"/>
              <w:jc w:val="right"/>
              <w:rPr>
                <w:sz w:val="17"/>
              </w:rPr>
            </w:pPr>
            <w:r w:rsidRPr="003606E4">
              <w:rPr>
                <w:sz w:val="17"/>
              </w:rPr>
              <w:t>–</w:t>
            </w:r>
            <w:r w:rsidRPr="007879A2">
              <w:rPr>
                <w:sz w:val="17"/>
              </w:rPr>
              <w:t xml:space="preserve"> </w:t>
            </w:r>
          </w:p>
        </w:tc>
        <w:tc>
          <w:tcPr>
            <w:tcW w:w="814" w:type="dxa"/>
            <w:vMerge w:val="restart"/>
            <w:shd w:val="clear" w:color="auto" w:fill="auto"/>
          </w:tcPr>
          <w:p w14:paraId="7EA52D15" w14:textId="77777777" w:rsidR="003F2E7C" w:rsidRPr="007879A2" w:rsidRDefault="003F2E7C" w:rsidP="00EF5A7F">
            <w:pPr>
              <w:keepNext/>
              <w:keepLines/>
              <w:tabs>
                <w:tab w:val="left" w:pos="288"/>
                <w:tab w:val="left" w:pos="576"/>
                <w:tab w:val="left" w:pos="864"/>
                <w:tab w:val="left" w:pos="1152"/>
              </w:tabs>
              <w:spacing w:before="40" w:after="40" w:line="210" w:lineRule="exact"/>
              <w:ind w:left="144" w:right="43"/>
              <w:jc w:val="right"/>
              <w:rPr>
                <w:sz w:val="17"/>
              </w:rPr>
            </w:pPr>
            <w:r w:rsidRPr="003606E4">
              <w:rPr>
                <w:sz w:val="17"/>
              </w:rPr>
              <w:t>–</w:t>
            </w:r>
          </w:p>
        </w:tc>
      </w:tr>
      <w:tr w:rsidR="003F2E7C" w:rsidRPr="007879A2" w14:paraId="5AC8781C" w14:textId="77777777" w:rsidTr="00EF5A7F">
        <w:tc>
          <w:tcPr>
            <w:tcW w:w="1611" w:type="dxa"/>
            <w:vMerge/>
            <w:shd w:val="clear" w:color="auto" w:fill="auto"/>
            <w:vAlign w:val="bottom"/>
          </w:tcPr>
          <w:p w14:paraId="46F66B37" w14:textId="77777777" w:rsidR="003F2E7C" w:rsidRPr="007879A2" w:rsidRDefault="003F2E7C" w:rsidP="00206464">
            <w:pPr>
              <w:tabs>
                <w:tab w:val="left" w:pos="288"/>
                <w:tab w:val="left" w:pos="576"/>
                <w:tab w:val="left" w:pos="864"/>
                <w:tab w:val="left" w:pos="1152"/>
              </w:tabs>
              <w:spacing w:before="40" w:after="40" w:line="210" w:lineRule="exact"/>
              <w:ind w:right="40"/>
              <w:jc w:val="both"/>
              <w:rPr>
                <w:sz w:val="17"/>
              </w:rPr>
            </w:pPr>
          </w:p>
        </w:tc>
        <w:tc>
          <w:tcPr>
            <w:tcW w:w="3870" w:type="dxa"/>
            <w:vMerge/>
            <w:shd w:val="clear" w:color="auto" w:fill="auto"/>
            <w:vAlign w:val="bottom"/>
          </w:tcPr>
          <w:p w14:paraId="767C08E0"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2493" w:type="dxa"/>
            <w:shd w:val="clear" w:color="auto" w:fill="auto"/>
          </w:tcPr>
          <w:p w14:paraId="0F6D68CC"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UN-Habitat Assembly rules of procedure</w:t>
            </w:r>
          </w:p>
        </w:tc>
        <w:tc>
          <w:tcPr>
            <w:tcW w:w="1062" w:type="dxa"/>
            <w:vMerge/>
            <w:shd w:val="clear" w:color="auto" w:fill="auto"/>
            <w:vAlign w:val="bottom"/>
          </w:tcPr>
          <w:p w14:paraId="735A117B"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14" w:type="dxa"/>
            <w:vMerge/>
            <w:shd w:val="clear" w:color="auto" w:fill="auto"/>
            <w:vAlign w:val="bottom"/>
          </w:tcPr>
          <w:p w14:paraId="615D7E70"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3F2E7C" w:rsidRPr="007879A2" w14:paraId="41520D8E" w14:textId="77777777" w:rsidTr="00EF5A7F">
        <w:tc>
          <w:tcPr>
            <w:tcW w:w="1611" w:type="dxa"/>
            <w:vMerge/>
            <w:shd w:val="clear" w:color="auto" w:fill="auto"/>
            <w:vAlign w:val="bottom"/>
          </w:tcPr>
          <w:p w14:paraId="57B4B9D0" w14:textId="77777777" w:rsidR="003F2E7C" w:rsidRPr="007879A2" w:rsidRDefault="003F2E7C" w:rsidP="00206464">
            <w:pPr>
              <w:tabs>
                <w:tab w:val="left" w:pos="288"/>
                <w:tab w:val="left" w:pos="576"/>
                <w:tab w:val="left" w:pos="864"/>
                <w:tab w:val="left" w:pos="1152"/>
              </w:tabs>
              <w:spacing w:before="40" w:after="40" w:line="210" w:lineRule="exact"/>
              <w:ind w:right="40"/>
              <w:jc w:val="both"/>
              <w:rPr>
                <w:sz w:val="17"/>
              </w:rPr>
            </w:pPr>
          </w:p>
        </w:tc>
        <w:tc>
          <w:tcPr>
            <w:tcW w:w="3870" w:type="dxa"/>
            <w:vMerge/>
            <w:shd w:val="clear" w:color="auto" w:fill="auto"/>
            <w:vAlign w:val="bottom"/>
          </w:tcPr>
          <w:p w14:paraId="4B495321"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2493" w:type="dxa"/>
            <w:shd w:val="clear" w:color="auto" w:fill="auto"/>
          </w:tcPr>
          <w:p w14:paraId="5706E869"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Membership: 193 government officials</w:t>
            </w:r>
          </w:p>
        </w:tc>
        <w:tc>
          <w:tcPr>
            <w:tcW w:w="1062" w:type="dxa"/>
            <w:vMerge/>
            <w:shd w:val="clear" w:color="auto" w:fill="auto"/>
            <w:vAlign w:val="bottom"/>
          </w:tcPr>
          <w:p w14:paraId="3F0EF2AA"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14" w:type="dxa"/>
            <w:vMerge/>
            <w:shd w:val="clear" w:color="auto" w:fill="auto"/>
            <w:vAlign w:val="bottom"/>
          </w:tcPr>
          <w:p w14:paraId="3B803A86"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3F2E7C" w:rsidRPr="007879A2" w14:paraId="1674C01D" w14:textId="77777777" w:rsidTr="00EF5A7F">
        <w:tc>
          <w:tcPr>
            <w:tcW w:w="1611" w:type="dxa"/>
            <w:vMerge/>
            <w:shd w:val="clear" w:color="auto" w:fill="auto"/>
            <w:vAlign w:val="bottom"/>
          </w:tcPr>
          <w:p w14:paraId="03DEE97D" w14:textId="77777777" w:rsidR="003F2E7C" w:rsidRPr="007879A2" w:rsidRDefault="003F2E7C" w:rsidP="00206464">
            <w:pPr>
              <w:tabs>
                <w:tab w:val="left" w:pos="288"/>
                <w:tab w:val="left" w:pos="576"/>
                <w:tab w:val="left" w:pos="864"/>
                <w:tab w:val="left" w:pos="1152"/>
              </w:tabs>
              <w:spacing w:before="40" w:after="40" w:line="210" w:lineRule="exact"/>
              <w:ind w:right="40"/>
              <w:jc w:val="both"/>
              <w:rPr>
                <w:sz w:val="17"/>
              </w:rPr>
            </w:pPr>
          </w:p>
        </w:tc>
        <w:tc>
          <w:tcPr>
            <w:tcW w:w="3870" w:type="dxa"/>
            <w:vMerge/>
            <w:shd w:val="clear" w:color="auto" w:fill="auto"/>
            <w:vAlign w:val="bottom"/>
          </w:tcPr>
          <w:p w14:paraId="19B01F47"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2493" w:type="dxa"/>
            <w:shd w:val="clear" w:color="auto" w:fill="auto"/>
          </w:tcPr>
          <w:p w14:paraId="14ACA97B"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Number of sessions in 2022: none</w:t>
            </w:r>
          </w:p>
        </w:tc>
        <w:tc>
          <w:tcPr>
            <w:tcW w:w="1062" w:type="dxa"/>
            <w:vMerge/>
            <w:shd w:val="clear" w:color="auto" w:fill="auto"/>
            <w:vAlign w:val="bottom"/>
          </w:tcPr>
          <w:p w14:paraId="3EEEA07C"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14" w:type="dxa"/>
            <w:vMerge/>
            <w:shd w:val="clear" w:color="auto" w:fill="auto"/>
            <w:vAlign w:val="bottom"/>
          </w:tcPr>
          <w:p w14:paraId="638F95DA"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3F2E7C" w:rsidRPr="007879A2" w14:paraId="6300C4E0" w14:textId="77777777" w:rsidTr="00EF5A7F">
        <w:tc>
          <w:tcPr>
            <w:tcW w:w="1611" w:type="dxa"/>
            <w:vMerge w:val="restart"/>
            <w:shd w:val="clear" w:color="auto" w:fill="auto"/>
          </w:tcPr>
          <w:p w14:paraId="17FACBF0" w14:textId="77777777" w:rsidR="003F2E7C" w:rsidRPr="007879A2" w:rsidRDefault="003F2E7C" w:rsidP="00206464">
            <w:pPr>
              <w:tabs>
                <w:tab w:val="left" w:pos="288"/>
                <w:tab w:val="left" w:pos="576"/>
                <w:tab w:val="left" w:pos="864"/>
                <w:tab w:val="left" w:pos="1152"/>
              </w:tabs>
              <w:spacing w:before="40" w:after="40" w:line="210" w:lineRule="exact"/>
              <w:ind w:right="40"/>
              <w:rPr>
                <w:sz w:val="17"/>
              </w:rPr>
            </w:pPr>
            <w:r w:rsidRPr="007879A2">
              <w:rPr>
                <w:sz w:val="17"/>
              </w:rPr>
              <w:t>Executive Board</w:t>
            </w:r>
          </w:p>
        </w:tc>
        <w:tc>
          <w:tcPr>
            <w:tcW w:w="3870" w:type="dxa"/>
            <w:vMerge w:val="restart"/>
            <w:shd w:val="clear" w:color="auto" w:fill="auto"/>
          </w:tcPr>
          <w:p w14:paraId="0B6E80E5" w14:textId="58F555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Permanent intersessional subsidiary body of the UN-Habitat Assembly. It is responsible for strengthening the oversight of UN</w:t>
            </w:r>
            <w:r>
              <w:rPr>
                <w:sz w:val="17"/>
              </w:rPr>
              <w:noBreakHyphen/>
            </w:r>
            <w:r w:rsidRPr="007879A2">
              <w:rPr>
                <w:sz w:val="17"/>
              </w:rPr>
              <w:t>Habitat operations and enhancing the accountability, transparency, efficiency and effectiveness of UN</w:t>
            </w:r>
            <w:r w:rsidR="00EF5A7F">
              <w:rPr>
                <w:sz w:val="17"/>
              </w:rPr>
              <w:noBreakHyphen/>
            </w:r>
            <w:r w:rsidRPr="007879A2">
              <w:rPr>
                <w:sz w:val="17"/>
              </w:rPr>
              <w:t>Habitat. It oversees the preparation of the draft strategic plan before its approval by the UN-Habitat Assembly and is responsible for the review and approval of the annual programme of work and budget and the resource mobilization strategy, in accordance with the strategic plans and political guidelines provided by the UN</w:t>
            </w:r>
            <w:r>
              <w:rPr>
                <w:sz w:val="17"/>
              </w:rPr>
              <w:noBreakHyphen/>
            </w:r>
            <w:r w:rsidRPr="007879A2">
              <w:rPr>
                <w:sz w:val="17"/>
              </w:rPr>
              <w:t xml:space="preserve">Habitat Assembly. The Executive Board meets two to three times in a year and held its first session of 2021 on 7 and 8 April 2021. </w:t>
            </w:r>
          </w:p>
        </w:tc>
        <w:tc>
          <w:tcPr>
            <w:tcW w:w="2493" w:type="dxa"/>
            <w:shd w:val="clear" w:color="auto" w:fill="auto"/>
          </w:tcPr>
          <w:p w14:paraId="29538857" w14:textId="3509C3EE"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 xml:space="preserve">Mandate: General Assembly resolution </w:t>
            </w:r>
            <w:hyperlink r:id="rId92" w:history="1">
              <w:r w:rsidRPr="007879A2">
                <w:rPr>
                  <w:rStyle w:val="Hyperlink"/>
                  <w:sz w:val="17"/>
                </w:rPr>
                <w:t>73/239</w:t>
              </w:r>
            </w:hyperlink>
            <w:r w:rsidRPr="007879A2">
              <w:rPr>
                <w:sz w:val="17"/>
              </w:rPr>
              <w:t>; note by the Secretary-General</w:t>
            </w:r>
            <w:r>
              <w:rPr>
                <w:sz w:val="17"/>
              </w:rPr>
              <w:t xml:space="preserve"> </w:t>
            </w:r>
            <w:r w:rsidRPr="007879A2">
              <w:rPr>
                <w:sz w:val="17"/>
              </w:rPr>
              <w:t>(</w:t>
            </w:r>
            <w:hyperlink r:id="rId93" w:history="1">
              <w:r w:rsidRPr="007879A2">
                <w:rPr>
                  <w:rStyle w:val="Hyperlink"/>
                  <w:sz w:val="17"/>
                </w:rPr>
                <w:t>A/73/726</w:t>
              </w:r>
            </w:hyperlink>
            <w:r w:rsidRPr="007879A2">
              <w:rPr>
                <w:sz w:val="17"/>
              </w:rPr>
              <w:t xml:space="preserve">) </w:t>
            </w:r>
          </w:p>
        </w:tc>
        <w:tc>
          <w:tcPr>
            <w:tcW w:w="1062" w:type="dxa"/>
            <w:vMerge w:val="restart"/>
            <w:shd w:val="clear" w:color="auto" w:fill="auto"/>
          </w:tcPr>
          <w:p w14:paraId="04A23F76"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r>
              <w:rPr>
                <w:rFonts w:ascii="Arial" w:hAnsi="Arial" w:cs="Arial"/>
                <w:color w:val="3B3E4D"/>
              </w:rPr>
              <w:t>–</w:t>
            </w:r>
          </w:p>
        </w:tc>
        <w:tc>
          <w:tcPr>
            <w:tcW w:w="814" w:type="dxa"/>
            <w:vMerge w:val="restart"/>
            <w:shd w:val="clear" w:color="auto" w:fill="auto"/>
          </w:tcPr>
          <w:p w14:paraId="5F693AC7"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r>
              <w:rPr>
                <w:rFonts w:ascii="Arial" w:hAnsi="Arial" w:cs="Arial"/>
                <w:color w:val="3B3E4D"/>
              </w:rPr>
              <w:t>–</w:t>
            </w:r>
          </w:p>
        </w:tc>
      </w:tr>
      <w:tr w:rsidR="003F2E7C" w:rsidRPr="007879A2" w14:paraId="1656C778" w14:textId="77777777" w:rsidTr="00EF5A7F">
        <w:tc>
          <w:tcPr>
            <w:tcW w:w="1611" w:type="dxa"/>
            <w:vMerge/>
            <w:shd w:val="clear" w:color="auto" w:fill="auto"/>
          </w:tcPr>
          <w:p w14:paraId="2F8DA463" w14:textId="77777777" w:rsidR="003F2E7C" w:rsidRPr="007879A2" w:rsidRDefault="003F2E7C" w:rsidP="00206464">
            <w:pPr>
              <w:tabs>
                <w:tab w:val="left" w:pos="288"/>
                <w:tab w:val="left" w:pos="576"/>
                <w:tab w:val="left" w:pos="864"/>
                <w:tab w:val="left" w:pos="1152"/>
              </w:tabs>
              <w:spacing w:before="40" w:after="40" w:line="210" w:lineRule="exact"/>
              <w:ind w:right="40"/>
              <w:rPr>
                <w:sz w:val="17"/>
              </w:rPr>
            </w:pPr>
          </w:p>
        </w:tc>
        <w:tc>
          <w:tcPr>
            <w:tcW w:w="3870" w:type="dxa"/>
            <w:vMerge/>
            <w:shd w:val="clear" w:color="auto" w:fill="auto"/>
          </w:tcPr>
          <w:p w14:paraId="67E829BA"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p>
        </w:tc>
        <w:tc>
          <w:tcPr>
            <w:tcW w:w="2493" w:type="dxa"/>
            <w:shd w:val="clear" w:color="auto" w:fill="auto"/>
          </w:tcPr>
          <w:p w14:paraId="5095B483"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UN-Habitat Assembly resolution 1/1, adopted by the Assembly at its first session in May 2019</w:t>
            </w:r>
          </w:p>
        </w:tc>
        <w:tc>
          <w:tcPr>
            <w:tcW w:w="1062" w:type="dxa"/>
            <w:vMerge/>
            <w:shd w:val="clear" w:color="auto" w:fill="auto"/>
            <w:vAlign w:val="bottom"/>
          </w:tcPr>
          <w:p w14:paraId="1A3AEDAB"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14" w:type="dxa"/>
            <w:vMerge/>
            <w:shd w:val="clear" w:color="auto" w:fill="auto"/>
            <w:vAlign w:val="bottom"/>
          </w:tcPr>
          <w:p w14:paraId="61BC780F"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3F2E7C" w:rsidRPr="007879A2" w14:paraId="2DC6A631" w14:textId="77777777" w:rsidTr="00EF5A7F">
        <w:tc>
          <w:tcPr>
            <w:tcW w:w="1611" w:type="dxa"/>
            <w:vMerge/>
            <w:shd w:val="clear" w:color="auto" w:fill="auto"/>
          </w:tcPr>
          <w:p w14:paraId="1A2F0F47" w14:textId="77777777" w:rsidR="003F2E7C" w:rsidRPr="007879A2" w:rsidRDefault="003F2E7C" w:rsidP="00206464">
            <w:pPr>
              <w:tabs>
                <w:tab w:val="left" w:pos="288"/>
                <w:tab w:val="left" w:pos="576"/>
                <w:tab w:val="left" w:pos="864"/>
                <w:tab w:val="left" w:pos="1152"/>
              </w:tabs>
              <w:spacing w:before="40" w:after="40" w:line="210" w:lineRule="exact"/>
              <w:ind w:right="40"/>
              <w:rPr>
                <w:sz w:val="17"/>
              </w:rPr>
            </w:pPr>
          </w:p>
        </w:tc>
        <w:tc>
          <w:tcPr>
            <w:tcW w:w="3870" w:type="dxa"/>
            <w:vMerge/>
            <w:shd w:val="clear" w:color="auto" w:fill="auto"/>
          </w:tcPr>
          <w:p w14:paraId="1A69D19D"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p>
        </w:tc>
        <w:tc>
          <w:tcPr>
            <w:tcW w:w="2493" w:type="dxa"/>
            <w:shd w:val="clear" w:color="auto" w:fill="auto"/>
          </w:tcPr>
          <w:p w14:paraId="689B3E10"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UN-Habitat Assembly rules of procedure</w:t>
            </w:r>
          </w:p>
        </w:tc>
        <w:tc>
          <w:tcPr>
            <w:tcW w:w="1062" w:type="dxa"/>
            <w:vMerge/>
            <w:shd w:val="clear" w:color="auto" w:fill="auto"/>
            <w:vAlign w:val="bottom"/>
          </w:tcPr>
          <w:p w14:paraId="26A8D756"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14" w:type="dxa"/>
            <w:vMerge/>
            <w:shd w:val="clear" w:color="auto" w:fill="auto"/>
            <w:vAlign w:val="bottom"/>
          </w:tcPr>
          <w:p w14:paraId="3659CAD2"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3F2E7C" w:rsidRPr="007879A2" w14:paraId="0AA6D2BE" w14:textId="77777777" w:rsidTr="00EF5A7F">
        <w:tc>
          <w:tcPr>
            <w:tcW w:w="1611" w:type="dxa"/>
            <w:vMerge/>
            <w:shd w:val="clear" w:color="auto" w:fill="auto"/>
          </w:tcPr>
          <w:p w14:paraId="38E27FB7" w14:textId="77777777" w:rsidR="003F2E7C" w:rsidRPr="007879A2" w:rsidRDefault="003F2E7C" w:rsidP="00206464">
            <w:pPr>
              <w:tabs>
                <w:tab w:val="left" w:pos="288"/>
                <w:tab w:val="left" w:pos="576"/>
                <w:tab w:val="left" w:pos="864"/>
                <w:tab w:val="left" w:pos="1152"/>
              </w:tabs>
              <w:spacing w:before="40" w:after="40" w:line="210" w:lineRule="exact"/>
              <w:ind w:right="40"/>
              <w:rPr>
                <w:sz w:val="17"/>
              </w:rPr>
            </w:pPr>
          </w:p>
        </w:tc>
        <w:tc>
          <w:tcPr>
            <w:tcW w:w="3870" w:type="dxa"/>
            <w:vMerge/>
            <w:shd w:val="clear" w:color="auto" w:fill="auto"/>
          </w:tcPr>
          <w:p w14:paraId="644A681E"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p>
        </w:tc>
        <w:tc>
          <w:tcPr>
            <w:tcW w:w="2493" w:type="dxa"/>
            <w:shd w:val="clear" w:color="auto" w:fill="auto"/>
          </w:tcPr>
          <w:p w14:paraId="15894288" w14:textId="77777777" w:rsidR="003F2E7C" w:rsidRPr="007879A2" w:rsidRDefault="003F2E7C" w:rsidP="00206464">
            <w:pPr>
              <w:tabs>
                <w:tab w:val="left" w:pos="288"/>
                <w:tab w:val="left" w:pos="576"/>
                <w:tab w:val="left" w:pos="864"/>
                <w:tab w:val="left" w:pos="1152"/>
              </w:tabs>
              <w:spacing w:before="40" w:after="40" w:line="210" w:lineRule="exact"/>
              <w:ind w:left="144" w:right="40"/>
              <w:rPr>
                <w:sz w:val="17"/>
              </w:rPr>
            </w:pPr>
            <w:r w:rsidRPr="007879A2">
              <w:rPr>
                <w:sz w:val="17"/>
              </w:rPr>
              <w:t xml:space="preserve">Membership: 36 </w:t>
            </w:r>
          </w:p>
        </w:tc>
        <w:tc>
          <w:tcPr>
            <w:tcW w:w="1062" w:type="dxa"/>
            <w:vMerge/>
            <w:shd w:val="clear" w:color="auto" w:fill="auto"/>
            <w:vAlign w:val="bottom"/>
          </w:tcPr>
          <w:p w14:paraId="4DCA2A01"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14" w:type="dxa"/>
            <w:vMerge/>
            <w:shd w:val="clear" w:color="auto" w:fill="auto"/>
            <w:vAlign w:val="bottom"/>
          </w:tcPr>
          <w:p w14:paraId="5FBA56F5" w14:textId="77777777" w:rsidR="003F2E7C" w:rsidRPr="007879A2"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3F2E7C" w:rsidRPr="007879A2" w14:paraId="549BC35F" w14:textId="77777777" w:rsidTr="00EF5A7F">
        <w:tc>
          <w:tcPr>
            <w:tcW w:w="1611" w:type="dxa"/>
            <w:vMerge/>
            <w:tcBorders>
              <w:bottom w:val="single" w:sz="4" w:space="0" w:color="auto"/>
            </w:tcBorders>
            <w:shd w:val="clear" w:color="auto" w:fill="auto"/>
          </w:tcPr>
          <w:p w14:paraId="3CEF7F6B" w14:textId="77777777" w:rsidR="003F2E7C" w:rsidRPr="007879A2" w:rsidRDefault="003F2E7C" w:rsidP="00206464">
            <w:pPr>
              <w:tabs>
                <w:tab w:val="left" w:pos="288"/>
                <w:tab w:val="left" w:pos="576"/>
                <w:tab w:val="left" w:pos="864"/>
                <w:tab w:val="left" w:pos="1152"/>
              </w:tabs>
              <w:spacing w:before="40" w:after="81" w:line="210" w:lineRule="exact"/>
              <w:ind w:right="40"/>
              <w:rPr>
                <w:sz w:val="17"/>
              </w:rPr>
            </w:pPr>
          </w:p>
        </w:tc>
        <w:tc>
          <w:tcPr>
            <w:tcW w:w="3870" w:type="dxa"/>
            <w:vMerge/>
            <w:tcBorders>
              <w:bottom w:val="single" w:sz="4" w:space="0" w:color="auto"/>
            </w:tcBorders>
            <w:shd w:val="clear" w:color="auto" w:fill="auto"/>
          </w:tcPr>
          <w:p w14:paraId="4AF7EEC8" w14:textId="77777777" w:rsidR="003F2E7C" w:rsidRPr="007879A2" w:rsidRDefault="003F2E7C" w:rsidP="00206464">
            <w:pPr>
              <w:tabs>
                <w:tab w:val="left" w:pos="288"/>
                <w:tab w:val="left" w:pos="576"/>
                <w:tab w:val="left" w:pos="864"/>
                <w:tab w:val="left" w:pos="1152"/>
              </w:tabs>
              <w:spacing w:before="40" w:after="81" w:line="210" w:lineRule="exact"/>
              <w:ind w:left="144" w:right="40"/>
              <w:rPr>
                <w:sz w:val="17"/>
              </w:rPr>
            </w:pPr>
          </w:p>
        </w:tc>
        <w:tc>
          <w:tcPr>
            <w:tcW w:w="2493" w:type="dxa"/>
            <w:tcBorders>
              <w:bottom w:val="single" w:sz="4" w:space="0" w:color="auto"/>
            </w:tcBorders>
            <w:shd w:val="clear" w:color="auto" w:fill="auto"/>
          </w:tcPr>
          <w:p w14:paraId="2490505D" w14:textId="77777777" w:rsidR="003F2E7C" w:rsidRPr="007879A2" w:rsidRDefault="003F2E7C" w:rsidP="00206464">
            <w:pPr>
              <w:tabs>
                <w:tab w:val="left" w:pos="288"/>
                <w:tab w:val="left" w:pos="576"/>
                <w:tab w:val="left" w:pos="864"/>
                <w:tab w:val="left" w:pos="1152"/>
              </w:tabs>
              <w:spacing w:before="40" w:after="81" w:line="210" w:lineRule="exact"/>
              <w:ind w:left="144" w:right="40"/>
              <w:rPr>
                <w:sz w:val="17"/>
              </w:rPr>
            </w:pPr>
            <w:r w:rsidRPr="007879A2">
              <w:rPr>
                <w:sz w:val="17"/>
              </w:rPr>
              <w:t xml:space="preserve">Number of sessions in 2022: 3 </w:t>
            </w:r>
          </w:p>
        </w:tc>
        <w:tc>
          <w:tcPr>
            <w:tcW w:w="1062" w:type="dxa"/>
            <w:vMerge/>
            <w:tcBorders>
              <w:bottom w:val="single" w:sz="4" w:space="0" w:color="auto"/>
            </w:tcBorders>
            <w:shd w:val="clear" w:color="auto" w:fill="auto"/>
            <w:vAlign w:val="bottom"/>
          </w:tcPr>
          <w:p w14:paraId="4F67D43B" w14:textId="77777777" w:rsidR="003F2E7C" w:rsidRPr="007879A2" w:rsidRDefault="003F2E7C" w:rsidP="00206464">
            <w:pPr>
              <w:tabs>
                <w:tab w:val="left" w:pos="288"/>
                <w:tab w:val="left" w:pos="576"/>
                <w:tab w:val="left" w:pos="864"/>
                <w:tab w:val="left" w:pos="1152"/>
              </w:tabs>
              <w:spacing w:before="40" w:after="81" w:line="210" w:lineRule="exact"/>
              <w:ind w:left="144" w:right="40"/>
              <w:jc w:val="right"/>
              <w:rPr>
                <w:sz w:val="17"/>
              </w:rPr>
            </w:pPr>
          </w:p>
        </w:tc>
        <w:tc>
          <w:tcPr>
            <w:tcW w:w="814" w:type="dxa"/>
            <w:vMerge/>
            <w:tcBorders>
              <w:bottom w:val="single" w:sz="4" w:space="0" w:color="auto"/>
            </w:tcBorders>
            <w:shd w:val="clear" w:color="auto" w:fill="auto"/>
            <w:vAlign w:val="bottom"/>
          </w:tcPr>
          <w:p w14:paraId="5D45AA1B" w14:textId="77777777" w:rsidR="003F2E7C" w:rsidRPr="007879A2" w:rsidRDefault="003F2E7C" w:rsidP="00206464">
            <w:pPr>
              <w:tabs>
                <w:tab w:val="left" w:pos="288"/>
                <w:tab w:val="left" w:pos="576"/>
                <w:tab w:val="left" w:pos="864"/>
                <w:tab w:val="left" w:pos="1152"/>
              </w:tabs>
              <w:spacing w:before="40" w:after="81" w:line="210" w:lineRule="exact"/>
              <w:ind w:left="144" w:right="40"/>
              <w:jc w:val="right"/>
              <w:rPr>
                <w:sz w:val="17"/>
              </w:rPr>
            </w:pPr>
          </w:p>
        </w:tc>
      </w:tr>
      <w:tr w:rsidR="003F2E7C" w:rsidRPr="007879A2" w14:paraId="2FC550CF" w14:textId="77777777" w:rsidTr="00EF5A7F">
        <w:tc>
          <w:tcPr>
            <w:tcW w:w="1611" w:type="dxa"/>
            <w:tcBorders>
              <w:top w:val="single" w:sz="4" w:space="0" w:color="auto"/>
              <w:bottom w:val="single" w:sz="12" w:space="0" w:color="auto"/>
            </w:tcBorders>
            <w:shd w:val="clear" w:color="auto" w:fill="auto"/>
            <w:vAlign w:val="bottom"/>
          </w:tcPr>
          <w:p w14:paraId="76A2ED1F" w14:textId="77777777" w:rsidR="003F2E7C" w:rsidRPr="007879A2" w:rsidRDefault="003F2E7C" w:rsidP="00206464">
            <w:pPr>
              <w:tabs>
                <w:tab w:val="left" w:pos="288"/>
                <w:tab w:val="left" w:pos="576"/>
                <w:tab w:val="left" w:pos="864"/>
                <w:tab w:val="left" w:pos="1152"/>
              </w:tabs>
              <w:spacing w:before="81" w:after="81" w:line="210" w:lineRule="exact"/>
              <w:ind w:right="40"/>
              <w:jc w:val="both"/>
              <w:rPr>
                <w:b/>
                <w:sz w:val="17"/>
              </w:rPr>
            </w:pPr>
            <w:r>
              <w:rPr>
                <w:b/>
                <w:sz w:val="17"/>
              </w:rPr>
              <w:tab/>
            </w:r>
            <w:r w:rsidRPr="007879A2">
              <w:rPr>
                <w:b/>
                <w:sz w:val="17"/>
              </w:rPr>
              <w:t>Total</w:t>
            </w:r>
          </w:p>
        </w:tc>
        <w:tc>
          <w:tcPr>
            <w:tcW w:w="3870" w:type="dxa"/>
            <w:tcBorders>
              <w:top w:val="single" w:sz="4" w:space="0" w:color="auto"/>
              <w:bottom w:val="single" w:sz="12" w:space="0" w:color="auto"/>
            </w:tcBorders>
            <w:shd w:val="clear" w:color="auto" w:fill="auto"/>
            <w:vAlign w:val="bottom"/>
          </w:tcPr>
          <w:p w14:paraId="636FC7C1" w14:textId="77777777" w:rsidR="003F2E7C" w:rsidRPr="007879A2" w:rsidRDefault="003F2E7C" w:rsidP="00206464">
            <w:pPr>
              <w:tabs>
                <w:tab w:val="left" w:pos="288"/>
                <w:tab w:val="left" w:pos="576"/>
                <w:tab w:val="left" w:pos="864"/>
                <w:tab w:val="left" w:pos="1152"/>
              </w:tabs>
              <w:spacing w:before="81" w:after="81" w:line="210" w:lineRule="exact"/>
              <w:ind w:left="144" w:right="40"/>
              <w:jc w:val="right"/>
              <w:rPr>
                <w:b/>
                <w:sz w:val="17"/>
              </w:rPr>
            </w:pPr>
          </w:p>
        </w:tc>
        <w:tc>
          <w:tcPr>
            <w:tcW w:w="2493" w:type="dxa"/>
            <w:tcBorders>
              <w:top w:val="single" w:sz="4" w:space="0" w:color="auto"/>
              <w:bottom w:val="single" w:sz="12" w:space="0" w:color="auto"/>
            </w:tcBorders>
            <w:shd w:val="clear" w:color="auto" w:fill="auto"/>
            <w:vAlign w:val="bottom"/>
          </w:tcPr>
          <w:p w14:paraId="524F1CF1" w14:textId="77777777" w:rsidR="003F2E7C" w:rsidRPr="007879A2" w:rsidRDefault="003F2E7C" w:rsidP="00206464">
            <w:pPr>
              <w:tabs>
                <w:tab w:val="left" w:pos="288"/>
                <w:tab w:val="left" w:pos="576"/>
                <w:tab w:val="left" w:pos="864"/>
                <w:tab w:val="left" w:pos="1152"/>
              </w:tabs>
              <w:spacing w:before="81" w:after="81" w:line="210" w:lineRule="exact"/>
              <w:ind w:left="144" w:right="40"/>
              <w:jc w:val="right"/>
              <w:rPr>
                <w:b/>
                <w:sz w:val="17"/>
              </w:rPr>
            </w:pPr>
          </w:p>
        </w:tc>
        <w:tc>
          <w:tcPr>
            <w:tcW w:w="1062" w:type="dxa"/>
            <w:tcBorders>
              <w:top w:val="single" w:sz="4" w:space="0" w:color="auto"/>
              <w:bottom w:val="single" w:sz="12" w:space="0" w:color="auto"/>
            </w:tcBorders>
            <w:shd w:val="clear" w:color="auto" w:fill="auto"/>
            <w:vAlign w:val="bottom"/>
          </w:tcPr>
          <w:p w14:paraId="40161D9F" w14:textId="77777777" w:rsidR="003F2E7C" w:rsidRPr="007879A2" w:rsidRDefault="003F2E7C" w:rsidP="00206464">
            <w:pPr>
              <w:tabs>
                <w:tab w:val="left" w:pos="288"/>
                <w:tab w:val="left" w:pos="576"/>
                <w:tab w:val="left" w:pos="864"/>
                <w:tab w:val="left" w:pos="1152"/>
              </w:tabs>
              <w:spacing w:before="81" w:after="81" w:line="210" w:lineRule="exact"/>
              <w:ind w:left="144" w:right="40"/>
              <w:jc w:val="right"/>
              <w:rPr>
                <w:b/>
                <w:sz w:val="17"/>
              </w:rPr>
            </w:pPr>
            <w:r w:rsidRPr="007879A2">
              <w:rPr>
                <w:b/>
                <w:sz w:val="17"/>
              </w:rPr>
              <w:t>590.2</w:t>
            </w:r>
          </w:p>
        </w:tc>
        <w:tc>
          <w:tcPr>
            <w:tcW w:w="814" w:type="dxa"/>
            <w:tcBorders>
              <w:top w:val="single" w:sz="4" w:space="0" w:color="auto"/>
              <w:bottom w:val="single" w:sz="12" w:space="0" w:color="auto"/>
            </w:tcBorders>
            <w:shd w:val="clear" w:color="auto" w:fill="auto"/>
            <w:vAlign w:val="bottom"/>
          </w:tcPr>
          <w:p w14:paraId="2B7B2EF6" w14:textId="77777777" w:rsidR="003F2E7C" w:rsidRPr="007879A2" w:rsidRDefault="003F2E7C" w:rsidP="00206464">
            <w:pPr>
              <w:tabs>
                <w:tab w:val="left" w:pos="288"/>
                <w:tab w:val="left" w:pos="576"/>
                <w:tab w:val="left" w:pos="864"/>
                <w:tab w:val="left" w:pos="1152"/>
              </w:tabs>
              <w:spacing w:before="81" w:after="81" w:line="210" w:lineRule="exact"/>
              <w:ind w:left="144" w:right="40"/>
              <w:jc w:val="right"/>
              <w:rPr>
                <w:b/>
                <w:sz w:val="17"/>
              </w:rPr>
            </w:pPr>
            <w:r w:rsidRPr="007879A2">
              <w:rPr>
                <w:b/>
                <w:sz w:val="17"/>
              </w:rPr>
              <w:t>590.2</w:t>
            </w:r>
          </w:p>
        </w:tc>
      </w:tr>
    </w:tbl>
    <w:p w14:paraId="3FB9ECF1" w14:textId="77777777" w:rsidR="003F2E7C" w:rsidRPr="001A41C7"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AC3A7ED" w14:textId="77777777" w:rsidR="003F2E7C" w:rsidRPr="001A41C7"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F0E08CA"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15.13</w:t>
      </w:r>
      <w:r>
        <w:t>9</w:t>
      </w:r>
      <w:r w:rsidRPr="00E96905">
        <w:tab/>
        <w:t>The proposed regular budget resources for 2022 amount to $590,200 and reflect no change in the resource level compared with the appropriation for 2021.</w:t>
      </w:r>
      <w:r>
        <w:t xml:space="preserve"> </w:t>
      </w:r>
      <w:r w:rsidRPr="00E96905">
        <w:t xml:space="preserve">Additional details on the distribution of the proposed resources for 2022 are reflected in table 15.18 and figure 15.XIII. </w:t>
      </w:r>
    </w:p>
    <w:p w14:paraId="7873F11D" w14:textId="77777777" w:rsidR="003F2E7C" w:rsidRPr="001A41C7"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2F5ED88" w14:textId="77777777" w:rsidR="003F2E7C" w:rsidRPr="00901D59"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01D59">
        <w:rPr>
          <w:b w:val="0"/>
          <w:bCs/>
        </w:rPr>
        <w:t>Table 15.18</w:t>
      </w:r>
    </w:p>
    <w:p w14:paraId="7FA647F4"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Policymaking organs: evolution of financial resources</w:t>
      </w:r>
    </w:p>
    <w:p w14:paraId="29235BC5" w14:textId="77777777" w:rsidR="003F2E7C" w:rsidRPr="00901D59"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ind w:left="1267" w:hanging="1267"/>
        <w:jc w:val="both"/>
        <w:rPr>
          <w:sz w:val="14"/>
          <w:szCs w:val="14"/>
        </w:rPr>
      </w:pPr>
      <w:r w:rsidRPr="00901D59">
        <w:rPr>
          <w:sz w:val="14"/>
          <w:szCs w:val="14"/>
        </w:rPr>
        <w:t>(Thousands of United States dollars/number of posts)</w:t>
      </w:r>
    </w:p>
    <w:p w14:paraId="4C845F6B" w14:textId="77777777" w:rsidR="003F2E7C"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D4D7752" w14:textId="77777777" w:rsidR="003F2E7C" w:rsidRPr="00901D59"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39"/>
        <w:gridCol w:w="981"/>
        <w:gridCol w:w="1080"/>
        <w:gridCol w:w="990"/>
        <w:gridCol w:w="990"/>
        <w:gridCol w:w="810"/>
        <w:gridCol w:w="828"/>
        <w:gridCol w:w="900"/>
        <w:gridCol w:w="828"/>
      </w:tblGrid>
      <w:tr w:rsidR="003F2E7C" w:rsidRPr="00A34450" w14:paraId="36A5FB0F" w14:textId="77777777" w:rsidTr="00EF5A7F">
        <w:trPr>
          <w:tblHeader/>
        </w:trPr>
        <w:tc>
          <w:tcPr>
            <w:tcW w:w="2439" w:type="dxa"/>
            <w:tcBorders>
              <w:top w:val="single" w:sz="4" w:space="0" w:color="auto"/>
            </w:tcBorders>
            <w:shd w:val="clear" w:color="auto" w:fill="auto"/>
            <w:vAlign w:val="bottom"/>
          </w:tcPr>
          <w:p w14:paraId="6FE74A65" w14:textId="77777777" w:rsidR="003F2E7C" w:rsidRPr="00A34450" w:rsidRDefault="003F2E7C" w:rsidP="00206464">
            <w:pPr>
              <w:spacing w:before="81" w:after="81" w:line="160" w:lineRule="exact"/>
              <w:ind w:right="40"/>
              <w:rPr>
                <w:i/>
                <w:sz w:val="14"/>
              </w:rPr>
            </w:pPr>
          </w:p>
        </w:tc>
        <w:tc>
          <w:tcPr>
            <w:tcW w:w="981" w:type="dxa"/>
            <w:tcBorders>
              <w:top w:val="single" w:sz="4" w:space="0" w:color="auto"/>
            </w:tcBorders>
            <w:shd w:val="clear" w:color="auto" w:fill="auto"/>
            <w:vAlign w:val="bottom"/>
          </w:tcPr>
          <w:p w14:paraId="171DFB15" w14:textId="77777777" w:rsidR="003F2E7C" w:rsidRPr="00A34450" w:rsidRDefault="003F2E7C" w:rsidP="00206464">
            <w:pPr>
              <w:spacing w:before="81" w:after="81" w:line="160" w:lineRule="exact"/>
              <w:ind w:left="144" w:right="40"/>
              <w:jc w:val="right"/>
              <w:rPr>
                <w:i/>
                <w:sz w:val="14"/>
              </w:rPr>
            </w:pPr>
          </w:p>
        </w:tc>
        <w:tc>
          <w:tcPr>
            <w:tcW w:w="1080" w:type="dxa"/>
            <w:tcBorders>
              <w:top w:val="single" w:sz="4" w:space="0" w:color="auto"/>
            </w:tcBorders>
            <w:shd w:val="clear" w:color="auto" w:fill="auto"/>
            <w:vAlign w:val="bottom"/>
          </w:tcPr>
          <w:p w14:paraId="743607CD" w14:textId="77777777" w:rsidR="003F2E7C" w:rsidRPr="00A34450" w:rsidRDefault="003F2E7C" w:rsidP="00206464">
            <w:pPr>
              <w:spacing w:before="81" w:after="81" w:line="160" w:lineRule="exact"/>
              <w:ind w:left="144" w:right="40"/>
              <w:jc w:val="right"/>
              <w:rPr>
                <w:i/>
                <w:sz w:val="14"/>
              </w:rPr>
            </w:pPr>
          </w:p>
        </w:tc>
        <w:tc>
          <w:tcPr>
            <w:tcW w:w="4518" w:type="dxa"/>
            <w:gridSpan w:val="5"/>
            <w:tcBorders>
              <w:top w:val="single" w:sz="4" w:space="0" w:color="auto"/>
              <w:bottom w:val="single" w:sz="4" w:space="0" w:color="auto"/>
            </w:tcBorders>
            <w:shd w:val="clear" w:color="auto" w:fill="auto"/>
            <w:vAlign w:val="bottom"/>
          </w:tcPr>
          <w:p w14:paraId="57D645FF" w14:textId="77777777" w:rsidR="003F2E7C" w:rsidRPr="00A34450" w:rsidRDefault="003F2E7C" w:rsidP="00206464">
            <w:pPr>
              <w:spacing w:before="81" w:after="81" w:line="160" w:lineRule="exact"/>
              <w:ind w:left="144" w:right="40"/>
              <w:jc w:val="center"/>
              <w:rPr>
                <w:i/>
                <w:sz w:val="14"/>
              </w:rPr>
            </w:pPr>
            <w:r w:rsidRPr="00A34450">
              <w:rPr>
                <w:i/>
                <w:sz w:val="14"/>
              </w:rPr>
              <w:t>Changes</w:t>
            </w:r>
          </w:p>
        </w:tc>
        <w:tc>
          <w:tcPr>
            <w:tcW w:w="828" w:type="dxa"/>
            <w:vMerge w:val="restart"/>
            <w:tcBorders>
              <w:top w:val="single" w:sz="4" w:space="0" w:color="auto"/>
            </w:tcBorders>
            <w:shd w:val="clear" w:color="auto" w:fill="auto"/>
            <w:vAlign w:val="bottom"/>
          </w:tcPr>
          <w:p w14:paraId="524831A9" w14:textId="77777777" w:rsidR="003F2E7C" w:rsidRPr="00A34450" w:rsidRDefault="003F2E7C" w:rsidP="00206464">
            <w:pPr>
              <w:spacing w:before="81" w:after="81" w:line="160" w:lineRule="exact"/>
              <w:ind w:left="144" w:right="40"/>
              <w:jc w:val="right"/>
              <w:rPr>
                <w:i/>
                <w:sz w:val="14"/>
              </w:rPr>
            </w:pPr>
            <w:r w:rsidRPr="00A34450">
              <w:rPr>
                <w:i/>
                <w:sz w:val="14"/>
              </w:rPr>
              <w:t>2022 estimate (before recosting)</w:t>
            </w:r>
          </w:p>
        </w:tc>
      </w:tr>
      <w:tr w:rsidR="00EF5A7F" w:rsidRPr="00A34450" w14:paraId="685929E7" w14:textId="77777777" w:rsidTr="00EF5A7F">
        <w:trPr>
          <w:tblHeader/>
        </w:trPr>
        <w:tc>
          <w:tcPr>
            <w:tcW w:w="2439" w:type="dxa"/>
            <w:tcBorders>
              <w:bottom w:val="single" w:sz="12" w:space="0" w:color="auto"/>
            </w:tcBorders>
            <w:shd w:val="clear" w:color="auto" w:fill="auto"/>
            <w:vAlign w:val="bottom"/>
          </w:tcPr>
          <w:p w14:paraId="189D400D" w14:textId="77777777" w:rsidR="003F2E7C" w:rsidRPr="00A34450" w:rsidRDefault="003F2E7C" w:rsidP="00206464">
            <w:pPr>
              <w:spacing w:before="81" w:after="81" w:line="160" w:lineRule="exact"/>
              <w:ind w:right="40"/>
              <w:rPr>
                <w:i/>
                <w:sz w:val="14"/>
              </w:rPr>
            </w:pPr>
          </w:p>
        </w:tc>
        <w:tc>
          <w:tcPr>
            <w:tcW w:w="981" w:type="dxa"/>
            <w:tcBorders>
              <w:bottom w:val="single" w:sz="12" w:space="0" w:color="auto"/>
            </w:tcBorders>
            <w:shd w:val="clear" w:color="auto" w:fill="auto"/>
            <w:vAlign w:val="bottom"/>
          </w:tcPr>
          <w:p w14:paraId="63AEDEC7" w14:textId="77777777" w:rsidR="003F2E7C" w:rsidRPr="00A34450" w:rsidRDefault="003F2E7C" w:rsidP="00206464">
            <w:pPr>
              <w:spacing w:before="81" w:after="81" w:line="160" w:lineRule="exact"/>
              <w:ind w:left="144" w:right="40"/>
              <w:jc w:val="right"/>
              <w:rPr>
                <w:i/>
                <w:sz w:val="14"/>
              </w:rPr>
            </w:pPr>
            <w:r w:rsidRPr="00A34450">
              <w:rPr>
                <w:i/>
                <w:sz w:val="14"/>
              </w:rPr>
              <w:t>2020 expenditure</w:t>
            </w:r>
          </w:p>
        </w:tc>
        <w:tc>
          <w:tcPr>
            <w:tcW w:w="1080" w:type="dxa"/>
            <w:tcBorders>
              <w:bottom w:val="single" w:sz="12" w:space="0" w:color="auto"/>
            </w:tcBorders>
            <w:shd w:val="clear" w:color="auto" w:fill="auto"/>
            <w:vAlign w:val="bottom"/>
          </w:tcPr>
          <w:p w14:paraId="46A57101" w14:textId="77777777" w:rsidR="003F2E7C" w:rsidRPr="00A34450" w:rsidRDefault="003F2E7C" w:rsidP="00206464">
            <w:pPr>
              <w:spacing w:before="81" w:after="81" w:line="160" w:lineRule="exact"/>
              <w:ind w:left="144" w:right="40"/>
              <w:jc w:val="right"/>
              <w:rPr>
                <w:i/>
                <w:sz w:val="14"/>
              </w:rPr>
            </w:pPr>
            <w:r w:rsidRPr="00A34450">
              <w:rPr>
                <w:i/>
                <w:sz w:val="14"/>
              </w:rPr>
              <w:t>2021 appropriation</w:t>
            </w:r>
          </w:p>
        </w:tc>
        <w:tc>
          <w:tcPr>
            <w:tcW w:w="990" w:type="dxa"/>
            <w:tcBorders>
              <w:top w:val="single" w:sz="4" w:space="0" w:color="auto"/>
              <w:bottom w:val="single" w:sz="12" w:space="0" w:color="auto"/>
            </w:tcBorders>
            <w:shd w:val="clear" w:color="auto" w:fill="auto"/>
            <w:vAlign w:val="bottom"/>
          </w:tcPr>
          <w:p w14:paraId="53ECFEBE" w14:textId="77777777" w:rsidR="003F2E7C" w:rsidRPr="00A34450" w:rsidRDefault="003F2E7C" w:rsidP="00206464">
            <w:pPr>
              <w:spacing w:before="81" w:after="81" w:line="160" w:lineRule="exact"/>
              <w:ind w:left="144" w:right="40"/>
              <w:jc w:val="right"/>
              <w:rPr>
                <w:i/>
                <w:sz w:val="14"/>
              </w:rPr>
            </w:pPr>
            <w:r w:rsidRPr="00A34450">
              <w:rPr>
                <w:i/>
                <w:sz w:val="14"/>
              </w:rPr>
              <w:t>Technical adjustments</w:t>
            </w:r>
          </w:p>
        </w:tc>
        <w:tc>
          <w:tcPr>
            <w:tcW w:w="990" w:type="dxa"/>
            <w:tcBorders>
              <w:top w:val="single" w:sz="4" w:space="0" w:color="auto"/>
              <w:bottom w:val="single" w:sz="12" w:space="0" w:color="auto"/>
            </w:tcBorders>
            <w:shd w:val="clear" w:color="auto" w:fill="auto"/>
            <w:vAlign w:val="bottom"/>
          </w:tcPr>
          <w:p w14:paraId="45F58E86" w14:textId="77777777" w:rsidR="003F2E7C" w:rsidRPr="00A34450" w:rsidRDefault="003F2E7C" w:rsidP="00206464">
            <w:pPr>
              <w:spacing w:before="81" w:after="81" w:line="160" w:lineRule="exact"/>
              <w:ind w:left="144" w:right="40"/>
              <w:jc w:val="right"/>
              <w:rPr>
                <w:i/>
                <w:sz w:val="14"/>
              </w:rPr>
            </w:pPr>
            <w:r w:rsidRPr="00A34450">
              <w:rPr>
                <w:i/>
                <w:sz w:val="14"/>
              </w:rPr>
              <w:t>New/ expanded mandates</w:t>
            </w:r>
          </w:p>
        </w:tc>
        <w:tc>
          <w:tcPr>
            <w:tcW w:w="810" w:type="dxa"/>
            <w:tcBorders>
              <w:top w:val="single" w:sz="4" w:space="0" w:color="auto"/>
              <w:bottom w:val="single" w:sz="12" w:space="0" w:color="auto"/>
            </w:tcBorders>
            <w:shd w:val="clear" w:color="auto" w:fill="auto"/>
            <w:vAlign w:val="bottom"/>
          </w:tcPr>
          <w:p w14:paraId="786979CD" w14:textId="77777777" w:rsidR="003F2E7C" w:rsidRPr="00A34450" w:rsidRDefault="003F2E7C" w:rsidP="00206464">
            <w:pPr>
              <w:spacing w:before="81" w:after="81" w:line="160" w:lineRule="exact"/>
              <w:ind w:left="144" w:right="40"/>
              <w:jc w:val="right"/>
              <w:rPr>
                <w:i/>
                <w:sz w:val="14"/>
              </w:rPr>
            </w:pPr>
            <w:r w:rsidRPr="00A34450">
              <w:rPr>
                <w:i/>
                <w:sz w:val="14"/>
              </w:rPr>
              <w:t xml:space="preserve">Other </w:t>
            </w:r>
          </w:p>
        </w:tc>
        <w:tc>
          <w:tcPr>
            <w:tcW w:w="828" w:type="dxa"/>
            <w:tcBorders>
              <w:top w:val="single" w:sz="4" w:space="0" w:color="auto"/>
              <w:bottom w:val="single" w:sz="12" w:space="0" w:color="auto"/>
            </w:tcBorders>
            <w:shd w:val="clear" w:color="auto" w:fill="auto"/>
            <w:vAlign w:val="bottom"/>
          </w:tcPr>
          <w:p w14:paraId="0172A67C" w14:textId="77777777" w:rsidR="003F2E7C" w:rsidRPr="00A34450" w:rsidRDefault="003F2E7C" w:rsidP="00206464">
            <w:pPr>
              <w:spacing w:before="81" w:after="81" w:line="160" w:lineRule="exact"/>
              <w:ind w:left="144" w:right="40"/>
              <w:jc w:val="right"/>
              <w:rPr>
                <w:i/>
                <w:sz w:val="14"/>
              </w:rPr>
            </w:pPr>
            <w:r w:rsidRPr="00A34450">
              <w:rPr>
                <w:i/>
                <w:sz w:val="14"/>
              </w:rPr>
              <w:t xml:space="preserve">Total </w:t>
            </w:r>
          </w:p>
        </w:tc>
        <w:tc>
          <w:tcPr>
            <w:tcW w:w="900" w:type="dxa"/>
            <w:tcBorders>
              <w:top w:val="single" w:sz="4" w:space="0" w:color="auto"/>
              <w:bottom w:val="single" w:sz="12" w:space="0" w:color="auto"/>
            </w:tcBorders>
            <w:shd w:val="clear" w:color="auto" w:fill="auto"/>
            <w:vAlign w:val="bottom"/>
          </w:tcPr>
          <w:p w14:paraId="2669A403" w14:textId="77777777" w:rsidR="003F2E7C" w:rsidRPr="00A34450" w:rsidRDefault="003F2E7C" w:rsidP="00206464">
            <w:pPr>
              <w:spacing w:before="81" w:after="81" w:line="160" w:lineRule="exact"/>
              <w:ind w:left="144" w:right="40"/>
              <w:jc w:val="right"/>
              <w:rPr>
                <w:i/>
                <w:sz w:val="14"/>
              </w:rPr>
            </w:pPr>
            <w:r w:rsidRPr="00A34450">
              <w:rPr>
                <w:i/>
                <w:sz w:val="14"/>
              </w:rPr>
              <w:t>Percentage</w:t>
            </w:r>
          </w:p>
        </w:tc>
        <w:tc>
          <w:tcPr>
            <w:tcW w:w="828" w:type="dxa"/>
            <w:vMerge/>
            <w:tcBorders>
              <w:bottom w:val="single" w:sz="12" w:space="0" w:color="auto"/>
            </w:tcBorders>
            <w:shd w:val="clear" w:color="auto" w:fill="auto"/>
            <w:vAlign w:val="bottom"/>
          </w:tcPr>
          <w:p w14:paraId="3DC5CD13" w14:textId="77777777" w:rsidR="003F2E7C" w:rsidRPr="00A34450" w:rsidRDefault="003F2E7C" w:rsidP="00206464">
            <w:pPr>
              <w:spacing w:before="81" w:after="81" w:line="160" w:lineRule="exact"/>
              <w:ind w:left="144" w:right="40"/>
              <w:jc w:val="right"/>
              <w:rPr>
                <w:i/>
                <w:sz w:val="14"/>
              </w:rPr>
            </w:pPr>
          </w:p>
        </w:tc>
      </w:tr>
      <w:tr w:rsidR="00EF5A7F" w:rsidRPr="00A34450" w14:paraId="688073C9" w14:textId="77777777" w:rsidTr="00EF5A7F">
        <w:trPr>
          <w:trHeight w:hRule="exact" w:val="115"/>
          <w:tblHeader/>
        </w:trPr>
        <w:tc>
          <w:tcPr>
            <w:tcW w:w="2439" w:type="dxa"/>
            <w:tcBorders>
              <w:top w:val="single" w:sz="12" w:space="0" w:color="auto"/>
            </w:tcBorders>
            <w:shd w:val="clear" w:color="auto" w:fill="auto"/>
            <w:vAlign w:val="bottom"/>
          </w:tcPr>
          <w:p w14:paraId="3FA97CE7" w14:textId="77777777" w:rsidR="003F2E7C" w:rsidRPr="00A34450" w:rsidRDefault="003F2E7C" w:rsidP="00206464">
            <w:pPr>
              <w:spacing w:before="40" w:after="40" w:line="210" w:lineRule="exact"/>
              <w:ind w:right="40"/>
              <w:rPr>
                <w:sz w:val="17"/>
              </w:rPr>
            </w:pPr>
          </w:p>
        </w:tc>
        <w:tc>
          <w:tcPr>
            <w:tcW w:w="981" w:type="dxa"/>
            <w:tcBorders>
              <w:top w:val="single" w:sz="12" w:space="0" w:color="auto"/>
            </w:tcBorders>
            <w:shd w:val="clear" w:color="auto" w:fill="auto"/>
            <w:vAlign w:val="bottom"/>
          </w:tcPr>
          <w:p w14:paraId="642978AA" w14:textId="77777777" w:rsidR="003F2E7C" w:rsidRPr="00A34450" w:rsidRDefault="003F2E7C" w:rsidP="00206464">
            <w:pPr>
              <w:spacing w:before="40" w:after="40" w:line="210" w:lineRule="exact"/>
              <w:ind w:left="144" w:right="40"/>
              <w:jc w:val="right"/>
              <w:rPr>
                <w:sz w:val="17"/>
              </w:rPr>
            </w:pPr>
          </w:p>
        </w:tc>
        <w:tc>
          <w:tcPr>
            <w:tcW w:w="1080" w:type="dxa"/>
            <w:tcBorders>
              <w:top w:val="single" w:sz="12" w:space="0" w:color="auto"/>
            </w:tcBorders>
            <w:shd w:val="clear" w:color="auto" w:fill="auto"/>
            <w:vAlign w:val="bottom"/>
          </w:tcPr>
          <w:p w14:paraId="26070E4A" w14:textId="77777777" w:rsidR="003F2E7C" w:rsidRPr="00A34450" w:rsidRDefault="003F2E7C" w:rsidP="00206464">
            <w:pPr>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77BC025F" w14:textId="77777777" w:rsidR="003F2E7C" w:rsidRPr="00A34450" w:rsidRDefault="003F2E7C" w:rsidP="00206464">
            <w:pPr>
              <w:spacing w:before="40" w:after="40" w:line="210" w:lineRule="exact"/>
              <w:ind w:left="144" w:right="40"/>
              <w:jc w:val="right"/>
              <w:rPr>
                <w:sz w:val="17"/>
              </w:rPr>
            </w:pPr>
          </w:p>
        </w:tc>
        <w:tc>
          <w:tcPr>
            <w:tcW w:w="990" w:type="dxa"/>
            <w:tcBorders>
              <w:top w:val="single" w:sz="12" w:space="0" w:color="auto"/>
            </w:tcBorders>
            <w:shd w:val="clear" w:color="auto" w:fill="auto"/>
            <w:vAlign w:val="bottom"/>
          </w:tcPr>
          <w:p w14:paraId="02B40062" w14:textId="77777777" w:rsidR="003F2E7C" w:rsidRPr="00A34450" w:rsidRDefault="003F2E7C" w:rsidP="00206464">
            <w:pPr>
              <w:spacing w:before="40" w:after="40" w:line="210" w:lineRule="exact"/>
              <w:ind w:left="144" w:right="40"/>
              <w:jc w:val="right"/>
              <w:rPr>
                <w:sz w:val="17"/>
              </w:rPr>
            </w:pPr>
          </w:p>
        </w:tc>
        <w:tc>
          <w:tcPr>
            <w:tcW w:w="810" w:type="dxa"/>
            <w:tcBorders>
              <w:top w:val="single" w:sz="12" w:space="0" w:color="auto"/>
            </w:tcBorders>
            <w:shd w:val="clear" w:color="auto" w:fill="auto"/>
            <w:vAlign w:val="bottom"/>
          </w:tcPr>
          <w:p w14:paraId="4E7F6B78" w14:textId="77777777" w:rsidR="003F2E7C" w:rsidRPr="00A34450" w:rsidRDefault="003F2E7C" w:rsidP="00206464">
            <w:pPr>
              <w:spacing w:before="40" w:after="40" w:line="210" w:lineRule="exact"/>
              <w:ind w:left="144" w:right="40"/>
              <w:jc w:val="right"/>
              <w:rPr>
                <w:sz w:val="17"/>
              </w:rPr>
            </w:pPr>
          </w:p>
        </w:tc>
        <w:tc>
          <w:tcPr>
            <w:tcW w:w="828" w:type="dxa"/>
            <w:tcBorders>
              <w:top w:val="single" w:sz="12" w:space="0" w:color="auto"/>
            </w:tcBorders>
            <w:shd w:val="clear" w:color="auto" w:fill="auto"/>
            <w:vAlign w:val="bottom"/>
          </w:tcPr>
          <w:p w14:paraId="094AB975" w14:textId="77777777" w:rsidR="003F2E7C" w:rsidRPr="00A34450" w:rsidRDefault="003F2E7C" w:rsidP="00206464">
            <w:pPr>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12B98656" w14:textId="77777777" w:rsidR="003F2E7C" w:rsidRPr="00A34450" w:rsidRDefault="003F2E7C" w:rsidP="00206464">
            <w:pPr>
              <w:spacing w:before="40" w:after="40" w:line="210" w:lineRule="exact"/>
              <w:ind w:left="144" w:right="40"/>
              <w:jc w:val="right"/>
              <w:rPr>
                <w:sz w:val="17"/>
              </w:rPr>
            </w:pPr>
          </w:p>
        </w:tc>
        <w:tc>
          <w:tcPr>
            <w:tcW w:w="828" w:type="dxa"/>
            <w:tcBorders>
              <w:top w:val="single" w:sz="12" w:space="0" w:color="auto"/>
            </w:tcBorders>
            <w:shd w:val="clear" w:color="auto" w:fill="auto"/>
            <w:vAlign w:val="bottom"/>
          </w:tcPr>
          <w:p w14:paraId="726359FF" w14:textId="77777777" w:rsidR="003F2E7C" w:rsidRPr="00A34450" w:rsidRDefault="003F2E7C" w:rsidP="00206464">
            <w:pPr>
              <w:spacing w:before="40" w:after="40" w:line="210" w:lineRule="exact"/>
              <w:ind w:left="144" w:right="40"/>
              <w:jc w:val="right"/>
              <w:rPr>
                <w:sz w:val="17"/>
              </w:rPr>
            </w:pPr>
          </w:p>
        </w:tc>
      </w:tr>
      <w:tr w:rsidR="003F2E7C" w:rsidRPr="00A34450" w14:paraId="49A78AFB" w14:textId="77777777" w:rsidTr="00EF5A7F">
        <w:tc>
          <w:tcPr>
            <w:tcW w:w="5490" w:type="dxa"/>
            <w:gridSpan w:val="4"/>
            <w:shd w:val="clear" w:color="auto" w:fill="auto"/>
            <w:vAlign w:val="bottom"/>
          </w:tcPr>
          <w:p w14:paraId="22E6D271" w14:textId="77777777" w:rsidR="003F2E7C" w:rsidRPr="00C74D96" w:rsidRDefault="003F2E7C" w:rsidP="00206464">
            <w:pPr>
              <w:tabs>
                <w:tab w:val="left" w:pos="288"/>
                <w:tab w:val="left" w:pos="576"/>
                <w:tab w:val="left" w:pos="864"/>
                <w:tab w:val="left" w:pos="1152"/>
              </w:tabs>
              <w:spacing w:before="81" w:after="40" w:line="210" w:lineRule="exact"/>
              <w:ind w:right="43"/>
              <w:rPr>
                <w:b/>
                <w:bCs/>
                <w:sz w:val="17"/>
              </w:rPr>
            </w:pPr>
            <w:r w:rsidRPr="00C74D96">
              <w:rPr>
                <w:b/>
                <w:bCs/>
                <w:sz w:val="17"/>
              </w:rPr>
              <w:t xml:space="preserve">Financial resources by main category of expenditure </w:t>
            </w:r>
          </w:p>
        </w:tc>
        <w:tc>
          <w:tcPr>
            <w:tcW w:w="990" w:type="dxa"/>
            <w:shd w:val="clear" w:color="auto" w:fill="auto"/>
            <w:vAlign w:val="bottom"/>
          </w:tcPr>
          <w:p w14:paraId="0C240C86"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10" w:type="dxa"/>
            <w:shd w:val="clear" w:color="auto" w:fill="auto"/>
            <w:vAlign w:val="bottom"/>
          </w:tcPr>
          <w:p w14:paraId="5E01317E"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28" w:type="dxa"/>
            <w:shd w:val="clear" w:color="auto" w:fill="auto"/>
            <w:vAlign w:val="bottom"/>
          </w:tcPr>
          <w:p w14:paraId="6ED48D2E"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900" w:type="dxa"/>
            <w:shd w:val="clear" w:color="auto" w:fill="auto"/>
            <w:vAlign w:val="bottom"/>
          </w:tcPr>
          <w:p w14:paraId="6B3918D1"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828" w:type="dxa"/>
            <w:shd w:val="clear" w:color="auto" w:fill="auto"/>
            <w:vAlign w:val="bottom"/>
          </w:tcPr>
          <w:p w14:paraId="0879F48D"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EF5A7F" w:rsidRPr="00A34450" w14:paraId="061E8AC2" w14:textId="77777777" w:rsidTr="00EF5A7F">
        <w:tc>
          <w:tcPr>
            <w:tcW w:w="2439" w:type="dxa"/>
            <w:shd w:val="clear" w:color="auto" w:fill="auto"/>
            <w:vAlign w:val="bottom"/>
          </w:tcPr>
          <w:p w14:paraId="3B8B9D25" w14:textId="77777777" w:rsidR="003F2E7C" w:rsidRPr="00A34450" w:rsidRDefault="003F2E7C" w:rsidP="00206464">
            <w:pPr>
              <w:tabs>
                <w:tab w:val="left" w:pos="288"/>
                <w:tab w:val="left" w:pos="576"/>
                <w:tab w:val="left" w:pos="864"/>
                <w:tab w:val="left" w:pos="1152"/>
              </w:tabs>
              <w:spacing w:before="40" w:after="40" w:line="210" w:lineRule="exact"/>
              <w:ind w:right="40"/>
              <w:rPr>
                <w:sz w:val="17"/>
              </w:rPr>
            </w:pPr>
            <w:r w:rsidRPr="00A34450">
              <w:rPr>
                <w:sz w:val="17"/>
              </w:rPr>
              <w:t>Post</w:t>
            </w:r>
          </w:p>
        </w:tc>
        <w:tc>
          <w:tcPr>
            <w:tcW w:w="981" w:type="dxa"/>
            <w:shd w:val="clear" w:color="auto" w:fill="auto"/>
            <w:vAlign w:val="bottom"/>
          </w:tcPr>
          <w:p w14:paraId="761865BC"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sidRPr="00A34450">
              <w:rPr>
                <w:sz w:val="17"/>
              </w:rPr>
              <w:t xml:space="preserve"> 574.8 </w:t>
            </w:r>
          </w:p>
        </w:tc>
        <w:tc>
          <w:tcPr>
            <w:tcW w:w="1080" w:type="dxa"/>
            <w:shd w:val="clear" w:color="auto" w:fill="auto"/>
            <w:vAlign w:val="bottom"/>
          </w:tcPr>
          <w:p w14:paraId="2103E093"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sidRPr="00A34450">
              <w:rPr>
                <w:sz w:val="17"/>
              </w:rPr>
              <w:t xml:space="preserve"> 558.5 </w:t>
            </w:r>
          </w:p>
        </w:tc>
        <w:tc>
          <w:tcPr>
            <w:tcW w:w="990" w:type="dxa"/>
            <w:shd w:val="clear" w:color="auto" w:fill="auto"/>
            <w:vAlign w:val="bottom"/>
          </w:tcPr>
          <w:p w14:paraId="2CCB23DF"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 </w:t>
            </w:r>
          </w:p>
        </w:tc>
        <w:tc>
          <w:tcPr>
            <w:tcW w:w="990" w:type="dxa"/>
            <w:shd w:val="clear" w:color="auto" w:fill="auto"/>
            <w:vAlign w:val="bottom"/>
          </w:tcPr>
          <w:p w14:paraId="082BEBE5"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 </w:t>
            </w:r>
          </w:p>
        </w:tc>
        <w:tc>
          <w:tcPr>
            <w:tcW w:w="810" w:type="dxa"/>
            <w:shd w:val="clear" w:color="auto" w:fill="auto"/>
            <w:vAlign w:val="bottom"/>
          </w:tcPr>
          <w:p w14:paraId="1805676B"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 </w:t>
            </w:r>
          </w:p>
        </w:tc>
        <w:tc>
          <w:tcPr>
            <w:tcW w:w="828" w:type="dxa"/>
            <w:shd w:val="clear" w:color="auto" w:fill="auto"/>
            <w:vAlign w:val="bottom"/>
          </w:tcPr>
          <w:p w14:paraId="225D2254"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 </w:t>
            </w:r>
          </w:p>
        </w:tc>
        <w:tc>
          <w:tcPr>
            <w:tcW w:w="900" w:type="dxa"/>
            <w:shd w:val="clear" w:color="auto" w:fill="auto"/>
            <w:vAlign w:val="bottom"/>
          </w:tcPr>
          <w:p w14:paraId="69FABBAB"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 </w:t>
            </w:r>
          </w:p>
        </w:tc>
        <w:tc>
          <w:tcPr>
            <w:tcW w:w="828" w:type="dxa"/>
            <w:shd w:val="clear" w:color="auto" w:fill="auto"/>
            <w:vAlign w:val="bottom"/>
          </w:tcPr>
          <w:p w14:paraId="52FE7014"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sidRPr="00A34450">
              <w:rPr>
                <w:sz w:val="17"/>
              </w:rPr>
              <w:t xml:space="preserve"> 558.5 </w:t>
            </w:r>
          </w:p>
        </w:tc>
      </w:tr>
      <w:tr w:rsidR="00EF5A7F" w:rsidRPr="00A34450" w14:paraId="64E94E5A" w14:textId="77777777" w:rsidTr="00EF5A7F">
        <w:tc>
          <w:tcPr>
            <w:tcW w:w="2439" w:type="dxa"/>
            <w:tcBorders>
              <w:bottom w:val="single" w:sz="4" w:space="0" w:color="auto"/>
            </w:tcBorders>
            <w:shd w:val="clear" w:color="auto" w:fill="auto"/>
            <w:vAlign w:val="bottom"/>
          </w:tcPr>
          <w:p w14:paraId="5CBDDFA2" w14:textId="77777777" w:rsidR="003F2E7C" w:rsidRPr="00A34450" w:rsidRDefault="003F2E7C" w:rsidP="00206464">
            <w:pPr>
              <w:tabs>
                <w:tab w:val="left" w:pos="288"/>
                <w:tab w:val="left" w:pos="576"/>
                <w:tab w:val="left" w:pos="864"/>
                <w:tab w:val="left" w:pos="1152"/>
              </w:tabs>
              <w:spacing w:before="40" w:after="81" w:line="210" w:lineRule="exact"/>
              <w:ind w:right="40"/>
              <w:rPr>
                <w:sz w:val="17"/>
              </w:rPr>
            </w:pPr>
            <w:r w:rsidRPr="00A34450">
              <w:rPr>
                <w:sz w:val="17"/>
              </w:rPr>
              <w:t>Non-post</w:t>
            </w:r>
          </w:p>
        </w:tc>
        <w:tc>
          <w:tcPr>
            <w:tcW w:w="981" w:type="dxa"/>
            <w:tcBorders>
              <w:bottom w:val="single" w:sz="4" w:space="0" w:color="auto"/>
            </w:tcBorders>
            <w:shd w:val="clear" w:color="auto" w:fill="auto"/>
            <w:vAlign w:val="bottom"/>
          </w:tcPr>
          <w:p w14:paraId="7B393BAA"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sidRPr="00A34450">
              <w:rPr>
                <w:sz w:val="17"/>
              </w:rPr>
              <w:t xml:space="preserve"> 34.5</w:t>
            </w:r>
          </w:p>
        </w:tc>
        <w:tc>
          <w:tcPr>
            <w:tcW w:w="1080" w:type="dxa"/>
            <w:tcBorders>
              <w:bottom w:val="single" w:sz="4" w:space="0" w:color="auto"/>
            </w:tcBorders>
            <w:shd w:val="clear" w:color="auto" w:fill="auto"/>
            <w:vAlign w:val="bottom"/>
          </w:tcPr>
          <w:p w14:paraId="5DB2E596"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sidRPr="00A34450">
              <w:rPr>
                <w:sz w:val="17"/>
              </w:rPr>
              <w:t xml:space="preserve"> 31.7 </w:t>
            </w:r>
          </w:p>
        </w:tc>
        <w:tc>
          <w:tcPr>
            <w:tcW w:w="990" w:type="dxa"/>
            <w:tcBorders>
              <w:bottom w:val="single" w:sz="4" w:space="0" w:color="auto"/>
            </w:tcBorders>
            <w:shd w:val="clear" w:color="auto" w:fill="auto"/>
            <w:vAlign w:val="bottom"/>
          </w:tcPr>
          <w:p w14:paraId="331E9D02"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 </w:t>
            </w:r>
          </w:p>
        </w:tc>
        <w:tc>
          <w:tcPr>
            <w:tcW w:w="990" w:type="dxa"/>
            <w:tcBorders>
              <w:bottom w:val="single" w:sz="4" w:space="0" w:color="auto"/>
            </w:tcBorders>
            <w:shd w:val="clear" w:color="auto" w:fill="auto"/>
            <w:vAlign w:val="bottom"/>
          </w:tcPr>
          <w:p w14:paraId="387A36AF"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 </w:t>
            </w:r>
          </w:p>
        </w:tc>
        <w:tc>
          <w:tcPr>
            <w:tcW w:w="810" w:type="dxa"/>
            <w:tcBorders>
              <w:bottom w:val="single" w:sz="4" w:space="0" w:color="auto"/>
            </w:tcBorders>
            <w:shd w:val="clear" w:color="auto" w:fill="auto"/>
            <w:vAlign w:val="bottom"/>
          </w:tcPr>
          <w:p w14:paraId="4390B310"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 </w:t>
            </w:r>
          </w:p>
        </w:tc>
        <w:tc>
          <w:tcPr>
            <w:tcW w:w="828" w:type="dxa"/>
            <w:tcBorders>
              <w:bottom w:val="single" w:sz="4" w:space="0" w:color="auto"/>
            </w:tcBorders>
            <w:shd w:val="clear" w:color="auto" w:fill="auto"/>
            <w:vAlign w:val="bottom"/>
          </w:tcPr>
          <w:p w14:paraId="21323E56"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 </w:t>
            </w:r>
          </w:p>
        </w:tc>
        <w:tc>
          <w:tcPr>
            <w:tcW w:w="900" w:type="dxa"/>
            <w:tcBorders>
              <w:bottom w:val="single" w:sz="4" w:space="0" w:color="auto"/>
            </w:tcBorders>
            <w:shd w:val="clear" w:color="auto" w:fill="auto"/>
            <w:vAlign w:val="bottom"/>
          </w:tcPr>
          <w:p w14:paraId="1F8E34B3"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 </w:t>
            </w:r>
          </w:p>
        </w:tc>
        <w:tc>
          <w:tcPr>
            <w:tcW w:w="828" w:type="dxa"/>
            <w:tcBorders>
              <w:bottom w:val="single" w:sz="4" w:space="0" w:color="auto"/>
            </w:tcBorders>
            <w:shd w:val="clear" w:color="auto" w:fill="auto"/>
            <w:vAlign w:val="bottom"/>
          </w:tcPr>
          <w:p w14:paraId="2D886722"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sidRPr="00A34450">
              <w:rPr>
                <w:sz w:val="17"/>
              </w:rPr>
              <w:t xml:space="preserve"> 31.7 </w:t>
            </w:r>
          </w:p>
        </w:tc>
      </w:tr>
      <w:tr w:rsidR="00EF5A7F" w:rsidRPr="00C74D96" w14:paraId="517D7FEC" w14:textId="77777777" w:rsidTr="00EF5A7F">
        <w:tc>
          <w:tcPr>
            <w:tcW w:w="2439" w:type="dxa"/>
            <w:tcBorders>
              <w:top w:val="single" w:sz="4" w:space="0" w:color="auto"/>
              <w:bottom w:val="single" w:sz="4" w:space="0" w:color="auto"/>
            </w:tcBorders>
            <w:shd w:val="clear" w:color="auto" w:fill="auto"/>
            <w:vAlign w:val="bottom"/>
          </w:tcPr>
          <w:p w14:paraId="656FCC14" w14:textId="77777777" w:rsidR="003F2E7C" w:rsidRPr="00C74D96" w:rsidRDefault="003F2E7C" w:rsidP="00206464">
            <w:pPr>
              <w:tabs>
                <w:tab w:val="left" w:pos="288"/>
                <w:tab w:val="left" w:pos="576"/>
                <w:tab w:val="left" w:pos="864"/>
                <w:tab w:val="left" w:pos="1152"/>
              </w:tabs>
              <w:spacing w:before="81" w:after="81" w:line="210" w:lineRule="exact"/>
              <w:ind w:right="40"/>
              <w:rPr>
                <w:b/>
                <w:sz w:val="17"/>
              </w:rPr>
            </w:pPr>
            <w:r>
              <w:rPr>
                <w:b/>
                <w:sz w:val="17"/>
              </w:rPr>
              <w:tab/>
            </w:r>
            <w:r w:rsidRPr="00C74D96">
              <w:rPr>
                <w:b/>
                <w:sz w:val="17"/>
              </w:rPr>
              <w:t>Total</w:t>
            </w:r>
          </w:p>
        </w:tc>
        <w:tc>
          <w:tcPr>
            <w:tcW w:w="981" w:type="dxa"/>
            <w:tcBorders>
              <w:top w:val="single" w:sz="4" w:space="0" w:color="auto"/>
              <w:bottom w:val="single" w:sz="4" w:space="0" w:color="auto"/>
            </w:tcBorders>
            <w:shd w:val="clear" w:color="auto" w:fill="auto"/>
            <w:vAlign w:val="bottom"/>
          </w:tcPr>
          <w:p w14:paraId="0CF4FF00"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sidRPr="00C74D96">
              <w:rPr>
                <w:b/>
                <w:sz w:val="17"/>
              </w:rPr>
              <w:t xml:space="preserve"> 609.3 </w:t>
            </w:r>
          </w:p>
        </w:tc>
        <w:tc>
          <w:tcPr>
            <w:tcW w:w="1080" w:type="dxa"/>
            <w:tcBorders>
              <w:top w:val="single" w:sz="4" w:space="0" w:color="auto"/>
              <w:bottom w:val="single" w:sz="4" w:space="0" w:color="auto"/>
            </w:tcBorders>
            <w:shd w:val="clear" w:color="auto" w:fill="auto"/>
            <w:vAlign w:val="bottom"/>
          </w:tcPr>
          <w:p w14:paraId="2DE74D69"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sidRPr="00C74D96">
              <w:rPr>
                <w:b/>
                <w:sz w:val="17"/>
              </w:rPr>
              <w:t xml:space="preserve"> 590.2 </w:t>
            </w:r>
          </w:p>
        </w:tc>
        <w:tc>
          <w:tcPr>
            <w:tcW w:w="990" w:type="dxa"/>
            <w:tcBorders>
              <w:top w:val="single" w:sz="4" w:space="0" w:color="auto"/>
              <w:bottom w:val="single" w:sz="4" w:space="0" w:color="auto"/>
            </w:tcBorders>
            <w:shd w:val="clear" w:color="auto" w:fill="auto"/>
            <w:vAlign w:val="bottom"/>
          </w:tcPr>
          <w:p w14:paraId="1D9187A5"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74D96">
              <w:rPr>
                <w:b/>
                <w:sz w:val="17"/>
              </w:rPr>
              <w:t>–</w:t>
            </w:r>
            <w:r>
              <w:rPr>
                <w:b/>
                <w:sz w:val="17"/>
              </w:rPr>
              <w:t xml:space="preserve"> </w:t>
            </w:r>
          </w:p>
        </w:tc>
        <w:tc>
          <w:tcPr>
            <w:tcW w:w="990" w:type="dxa"/>
            <w:tcBorders>
              <w:top w:val="single" w:sz="4" w:space="0" w:color="auto"/>
              <w:bottom w:val="single" w:sz="4" w:space="0" w:color="auto"/>
            </w:tcBorders>
            <w:shd w:val="clear" w:color="auto" w:fill="auto"/>
            <w:vAlign w:val="bottom"/>
          </w:tcPr>
          <w:p w14:paraId="730D77E4"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74D96">
              <w:rPr>
                <w:b/>
                <w:sz w:val="17"/>
              </w:rPr>
              <w:t>–</w:t>
            </w:r>
            <w:r>
              <w:rPr>
                <w:b/>
                <w:sz w:val="17"/>
              </w:rPr>
              <w:t xml:space="preserve"> </w:t>
            </w:r>
          </w:p>
        </w:tc>
        <w:tc>
          <w:tcPr>
            <w:tcW w:w="810" w:type="dxa"/>
            <w:tcBorders>
              <w:top w:val="single" w:sz="4" w:space="0" w:color="auto"/>
              <w:bottom w:val="single" w:sz="4" w:space="0" w:color="auto"/>
            </w:tcBorders>
            <w:shd w:val="clear" w:color="auto" w:fill="auto"/>
            <w:vAlign w:val="bottom"/>
          </w:tcPr>
          <w:p w14:paraId="66BD5372"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74D96">
              <w:rPr>
                <w:b/>
                <w:sz w:val="17"/>
              </w:rPr>
              <w:t>–</w:t>
            </w:r>
            <w:r>
              <w:rPr>
                <w:b/>
                <w:sz w:val="17"/>
              </w:rPr>
              <w:t xml:space="preserve"> </w:t>
            </w:r>
          </w:p>
        </w:tc>
        <w:tc>
          <w:tcPr>
            <w:tcW w:w="828" w:type="dxa"/>
            <w:tcBorders>
              <w:top w:val="single" w:sz="4" w:space="0" w:color="auto"/>
              <w:bottom w:val="single" w:sz="4" w:space="0" w:color="auto"/>
            </w:tcBorders>
            <w:shd w:val="clear" w:color="auto" w:fill="auto"/>
            <w:vAlign w:val="bottom"/>
          </w:tcPr>
          <w:p w14:paraId="083732BB"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74D96">
              <w:rPr>
                <w:b/>
                <w:sz w:val="17"/>
              </w:rPr>
              <w:t>–</w:t>
            </w:r>
            <w:r>
              <w:rPr>
                <w:b/>
                <w:sz w:val="17"/>
              </w:rPr>
              <w:t xml:space="preserve"> </w:t>
            </w:r>
          </w:p>
        </w:tc>
        <w:tc>
          <w:tcPr>
            <w:tcW w:w="900" w:type="dxa"/>
            <w:tcBorders>
              <w:top w:val="single" w:sz="4" w:space="0" w:color="auto"/>
              <w:bottom w:val="single" w:sz="4" w:space="0" w:color="auto"/>
            </w:tcBorders>
            <w:shd w:val="clear" w:color="auto" w:fill="auto"/>
            <w:vAlign w:val="bottom"/>
          </w:tcPr>
          <w:p w14:paraId="48A1DC24"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74D96">
              <w:rPr>
                <w:b/>
                <w:sz w:val="17"/>
              </w:rPr>
              <w:t>–</w:t>
            </w:r>
            <w:r>
              <w:rPr>
                <w:b/>
                <w:sz w:val="17"/>
              </w:rPr>
              <w:t xml:space="preserve"> </w:t>
            </w:r>
          </w:p>
        </w:tc>
        <w:tc>
          <w:tcPr>
            <w:tcW w:w="828" w:type="dxa"/>
            <w:tcBorders>
              <w:top w:val="single" w:sz="4" w:space="0" w:color="auto"/>
              <w:bottom w:val="single" w:sz="4" w:space="0" w:color="auto"/>
            </w:tcBorders>
            <w:shd w:val="clear" w:color="auto" w:fill="auto"/>
            <w:vAlign w:val="bottom"/>
          </w:tcPr>
          <w:p w14:paraId="0487315D"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sidRPr="00C74D96">
              <w:rPr>
                <w:b/>
                <w:sz w:val="17"/>
              </w:rPr>
              <w:t xml:space="preserve"> 590.2 </w:t>
            </w:r>
          </w:p>
        </w:tc>
      </w:tr>
      <w:tr w:rsidR="00EF5A7F" w:rsidRPr="00A34450" w14:paraId="2CE52CF5" w14:textId="77777777" w:rsidTr="00EF5A7F">
        <w:tc>
          <w:tcPr>
            <w:tcW w:w="3420" w:type="dxa"/>
            <w:gridSpan w:val="2"/>
            <w:tcBorders>
              <w:top w:val="single" w:sz="4" w:space="0" w:color="auto"/>
            </w:tcBorders>
            <w:shd w:val="clear" w:color="auto" w:fill="auto"/>
            <w:vAlign w:val="bottom"/>
          </w:tcPr>
          <w:p w14:paraId="56A150FB" w14:textId="77777777" w:rsidR="003F2E7C" w:rsidRPr="00A34450" w:rsidRDefault="003F2E7C" w:rsidP="00206464">
            <w:pPr>
              <w:tabs>
                <w:tab w:val="left" w:pos="288"/>
                <w:tab w:val="left" w:pos="576"/>
                <w:tab w:val="left" w:pos="864"/>
                <w:tab w:val="left" w:pos="1152"/>
              </w:tabs>
              <w:spacing w:before="81" w:after="40" w:line="210" w:lineRule="exact"/>
              <w:ind w:right="43"/>
              <w:rPr>
                <w:sz w:val="17"/>
              </w:rPr>
            </w:pPr>
            <w:r w:rsidRPr="00C74D96">
              <w:rPr>
                <w:b/>
                <w:bCs/>
                <w:sz w:val="17"/>
              </w:rPr>
              <w:t>Post resources by category</w:t>
            </w:r>
          </w:p>
        </w:tc>
        <w:tc>
          <w:tcPr>
            <w:tcW w:w="1080" w:type="dxa"/>
            <w:tcBorders>
              <w:top w:val="single" w:sz="4" w:space="0" w:color="auto"/>
            </w:tcBorders>
            <w:shd w:val="clear" w:color="auto" w:fill="auto"/>
            <w:vAlign w:val="bottom"/>
          </w:tcPr>
          <w:p w14:paraId="05AC9BA2" w14:textId="77777777" w:rsidR="003F2E7C" w:rsidRPr="00A34450" w:rsidRDefault="003F2E7C" w:rsidP="00206464">
            <w:pPr>
              <w:tabs>
                <w:tab w:val="left" w:pos="288"/>
                <w:tab w:val="left" w:pos="576"/>
                <w:tab w:val="left" w:pos="864"/>
                <w:tab w:val="left" w:pos="1152"/>
              </w:tabs>
              <w:spacing w:before="81" w:after="40" w:line="210" w:lineRule="exact"/>
              <w:ind w:left="144" w:right="40"/>
              <w:jc w:val="right"/>
              <w:rPr>
                <w:sz w:val="17"/>
              </w:rPr>
            </w:pPr>
          </w:p>
        </w:tc>
        <w:tc>
          <w:tcPr>
            <w:tcW w:w="990" w:type="dxa"/>
            <w:tcBorders>
              <w:top w:val="single" w:sz="4" w:space="0" w:color="auto"/>
            </w:tcBorders>
            <w:shd w:val="clear" w:color="auto" w:fill="auto"/>
            <w:vAlign w:val="bottom"/>
          </w:tcPr>
          <w:p w14:paraId="49DB3F49" w14:textId="77777777" w:rsidR="003F2E7C" w:rsidRPr="00A34450" w:rsidRDefault="003F2E7C" w:rsidP="00206464">
            <w:pPr>
              <w:tabs>
                <w:tab w:val="left" w:pos="288"/>
                <w:tab w:val="left" w:pos="576"/>
                <w:tab w:val="left" w:pos="864"/>
                <w:tab w:val="left" w:pos="1152"/>
              </w:tabs>
              <w:spacing w:before="81" w:after="40" w:line="210" w:lineRule="exact"/>
              <w:ind w:left="144" w:right="40"/>
              <w:jc w:val="right"/>
              <w:rPr>
                <w:sz w:val="17"/>
              </w:rPr>
            </w:pPr>
          </w:p>
        </w:tc>
        <w:tc>
          <w:tcPr>
            <w:tcW w:w="990" w:type="dxa"/>
            <w:tcBorders>
              <w:top w:val="single" w:sz="4" w:space="0" w:color="auto"/>
            </w:tcBorders>
            <w:shd w:val="clear" w:color="auto" w:fill="auto"/>
            <w:vAlign w:val="bottom"/>
          </w:tcPr>
          <w:p w14:paraId="7B17BE84" w14:textId="77777777" w:rsidR="003F2E7C" w:rsidRPr="00A34450" w:rsidRDefault="003F2E7C" w:rsidP="00206464">
            <w:pPr>
              <w:tabs>
                <w:tab w:val="left" w:pos="288"/>
                <w:tab w:val="left" w:pos="576"/>
                <w:tab w:val="left" w:pos="864"/>
                <w:tab w:val="left" w:pos="1152"/>
              </w:tabs>
              <w:spacing w:before="81" w:after="40" w:line="210" w:lineRule="exact"/>
              <w:ind w:left="144" w:right="40"/>
              <w:jc w:val="right"/>
              <w:rPr>
                <w:sz w:val="17"/>
              </w:rPr>
            </w:pPr>
          </w:p>
        </w:tc>
        <w:tc>
          <w:tcPr>
            <w:tcW w:w="810" w:type="dxa"/>
            <w:tcBorders>
              <w:top w:val="single" w:sz="4" w:space="0" w:color="auto"/>
            </w:tcBorders>
            <w:shd w:val="clear" w:color="auto" w:fill="auto"/>
            <w:vAlign w:val="bottom"/>
          </w:tcPr>
          <w:p w14:paraId="58F4B67A" w14:textId="77777777" w:rsidR="003F2E7C" w:rsidRPr="00A34450" w:rsidRDefault="003F2E7C" w:rsidP="00206464">
            <w:pPr>
              <w:tabs>
                <w:tab w:val="left" w:pos="288"/>
                <w:tab w:val="left" w:pos="576"/>
                <w:tab w:val="left" w:pos="864"/>
                <w:tab w:val="left" w:pos="1152"/>
              </w:tabs>
              <w:spacing w:before="81" w:after="40" w:line="210" w:lineRule="exact"/>
              <w:ind w:left="144" w:right="40"/>
              <w:jc w:val="right"/>
              <w:rPr>
                <w:sz w:val="17"/>
              </w:rPr>
            </w:pPr>
          </w:p>
        </w:tc>
        <w:tc>
          <w:tcPr>
            <w:tcW w:w="828" w:type="dxa"/>
            <w:tcBorders>
              <w:top w:val="single" w:sz="4" w:space="0" w:color="auto"/>
            </w:tcBorders>
            <w:shd w:val="clear" w:color="auto" w:fill="auto"/>
            <w:vAlign w:val="bottom"/>
          </w:tcPr>
          <w:p w14:paraId="3F094F25" w14:textId="77777777" w:rsidR="003F2E7C" w:rsidRPr="00A34450" w:rsidRDefault="003F2E7C" w:rsidP="00206464">
            <w:pPr>
              <w:tabs>
                <w:tab w:val="left" w:pos="288"/>
                <w:tab w:val="left" w:pos="576"/>
                <w:tab w:val="left" w:pos="864"/>
                <w:tab w:val="left" w:pos="1152"/>
              </w:tabs>
              <w:spacing w:before="81" w:after="40" w:line="210" w:lineRule="exact"/>
              <w:ind w:left="144" w:right="40"/>
              <w:jc w:val="right"/>
              <w:rPr>
                <w:sz w:val="17"/>
              </w:rPr>
            </w:pPr>
          </w:p>
        </w:tc>
        <w:tc>
          <w:tcPr>
            <w:tcW w:w="900" w:type="dxa"/>
            <w:tcBorders>
              <w:top w:val="single" w:sz="4" w:space="0" w:color="auto"/>
            </w:tcBorders>
            <w:shd w:val="clear" w:color="auto" w:fill="auto"/>
            <w:vAlign w:val="bottom"/>
          </w:tcPr>
          <w:p w14:paraId="632E1CB3" w14:textId="77777777" w:rsidR="003F2E7C" w:rsidRPr="00A34450" w:rsidRDefault="003F2E7C" w:rsidP="00206464">
            <w:pPr>
              <w:tabs>
                <w:tab w:val="left" w:pos="288"/>
                <w:tab w:val="left" w:pos="576"/>
                <w:tab w:val="left" w:pos="864"/>
                <w:tab w:val="left" w:pos="1152"/>
              </w:tabs>
              <w:spacing w:before="81" w:after="40" w:line="210" w:lineRule="exact"/>
              <w:ind w:left="144" w:right="40"/>
              <w:jc w:val="right"/>
              <w:rPr>
                <w:sz w:val="17"/>
              </w:rPr>
            </w:pPr>
          </w:p>
        </w:tc>
        <w:tc>
          <w:tcPr>
            <w:tcW w:w="828" w:type="dxa"/>
            <w:tcBorders>
              <w:top w:val="single" w:sz="4" w:space="0" w:color="auto"/>
            </w:tcBorders>
            <w:shd w:val="clear" w:color="auto" w:fill="auto"/>
            <w:vAlign w:val="bottom"/>
          </w:tcPr>
          <w:p w14:paraId="7B0FEC32" w14:textId="77777777" w:rsidR="003F2E7C" w:rsidRPr="00A34450" w:rsidRDefault="003F2E7C" w:rsidP="00206464">
            <w:pPr>
              <w:tabs>
                <w:tab w:val="left" w:pos="288"/>
                <w:tab w:val="left" w:pos="576"/>
                <w:tab w:val="left" w:pos="864"/>
                <w:tab w:val="left" w:pos="1152"/>
              </w:tabs>
              <w:spacing w:before="81" w:after="40" w:line="210" w:lineRule="exact"/>
              <w:ind w:left="144" w:right="40"/>
              <w:jc w:val="right"/>
              <w:rPr>
                <w:sz w:val="17"/>
              </w:rPr>
            </w:pPr>
          </w:p>
        </w:tc>
      </w:tr>
      <w:tr w:rsidR="00EF5A7F" w:rsidRPr="00A34450" w14:paraId="02F2551E" w14:textId="77777777" w:rsidTr="00EF5A7F">
        <w:tc>
          <w:tcPr>
            <w:tcW w:w="2439" w:type="dxa"/>
            <w:shd w:val="clear" w:color="auto" w:fill="auto"/>
            <w:vAlign w:val="bottom"/>
          </w:tcPr>
          <w:p w14:paraId="6EFA70F8" w14:textId="77777777" w:rsidR="003F2E7C" w:rsidRPr="00A34450" w:rsidRDefault="003F2E7C" w:rsidP="00206464">
            <w:pPr>
              <w:tabs>
                <w:tab w:val="left" w:pos="288"/>
                <w:tab w:val="left" w:pos="576"/>
                <w:tab w:val="left" w:pos="864"/>
                <w:tab w:val="left" w:pos="1152"/>
              </w:tabs>
              <w:spacing w:before="40" w:after="40" w:line="210" w:lineRule="exact"/>
              <w:ind w:right="40"/>
              <w:rPr>
                <w:sz w:val="17"/>
              </w:rPr>
            </w:pPr>
            <w:r w:rsidRPr="00A34450">
              <w:rPr>
                <w:sz w:val="17"/>
              </w:rPr>
              <w:t>Professional and higher</w:t>
            </w:r>
          </w:p>
        </w:tc>
        <w:tc>
          <w:tcPr>
            <w:tcW w:w="981" w:type="dxa"/>
            <w:shd w:val="clear" w:color="auto" w:fill="auto"/>
            <w:vAlign w:val="bottom"/>
          </w:tcPr>
          <w:p w14:paraId="18CCBC41"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1080" w:type="dxa"/>
            <w:shd w:val="clear" w:color="auto" w:fill="auto"/>
            <w:vAlign w:val="bottom"/>
          </w:tcPr>
          <w:p w14:paraId="015EBB4B"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sidRPr="00A34450">
              <w:rPr>
                <w:sz w:val="17"/>
              </w:rPr>
              <w:t xml:space="preserve"> 2 </w:t>
            </w:r>
          </w:p>
        </w:tc>
        <w:tc>
          <w:tcPr>
            <w:tcW w:w="990" w:type="dxa"/>
            <w:shd w:val="clear" w:color="auto" w:fill="auto"/>
            <w:vAlign w:val="bottom"/>
          </w:tcPr>
          <w:p w14:paraId="2A43F022"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A34450">
              <w:rPr>
                <w:sz w:val="17"/>
              </w:rPr>
              <w:t xml:space="preserve"> </w:t>
            </w:r>
          </w:p>
        </w:tc>
        <w:tc>
          <w:tcPr>
            <w:tcW w:w="990" w:type="dxa"/>
            <w:shd w:val="clear" w:color="auto" w:fill="auto"/>
            <w:vAlign w:val="bottom"/>
          </w:tcPr>
          <w:p w14:paraId="0B601190"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A34450">
              <w:rPr>
                <w:sz w:val="17"/>
              </w:rPr>
              <w:t xml:space="preserve"> </w:t>
            </w:r>
          </w:p>
        </w:tc>
        <w:tc>
          <w:tcPr>
            <w:tcW w:w="810" w:type="dxa"/>
            <w:shd w:val="clear" w:color="auto" w:fill="auto"/>
            <w:vAlign w:val="bottom"/>
          </w:tcPr>
          <w:p w14:paraId="7F8E6BAE"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A34450">
              <w:rPr>
                <w:sz w:val="17"/>
              </w:rPr>
              <w:t xml:space="preserve"> </w:t>
            </w:r>
          </w:p>
        </w:tc>
        <w:tc>
          <w:tcPr>
            <w:tcW w:w="828" w:type="dxa"/>
            <w:shd w:val="clear" w:color="auto" w:fill="auto"/>
            <w:vAlign w:val="bottom"/>
          </w:tcPr>
          <w:p w14:paraId="15C5FAC5"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A34450">
              <w:rPr>
                <w:sz w:val="17"/>
              </w:rPr>
              <w:t xml:space="preserve"> </w:t>
            </w:r>
          </w:p>
        </w:tc>
        <w:tc>
          <w:tcPr>
            <w:tcW w:w="900" w:type="dxa"/>
            <w:shd w:val="clear" w:color="auto" w:fill="auto"/>
            <w:vAlign w:val="bottom"/>
          </w:tcPr>
          <w:p w14:paraId="67321FDF"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A34450">
              <w:rPr>
                <w:sz w:val="17"/>
              </w:rPr>
              <w:t xml:space="preserve"> </w:t>
            </w:r>
          </w:p>
        </w:tc>
        <w:tc>
          <w:tcPr>
            <w:tcW w:w="828" w:type="dxa"/>
            <w:shd w:val="clear" w:color="auto" w:fill="auto"/>
            <w:vAlign w:val="bottom"/>
          </w:tcPr>
          <w:p w14:paraId="08FD92B8" w14:textId="77777777" w:rsidR="003F2E7C" w:rsidRPr="00A34450" w:rsidRDefault="003F2E7C" w:rsidP="00206464">
            <w:pPr>
              <w:tabs>
                <w:tab w:val="left" w:pos="288"/>
                <w:tab w:val="left" w:pos="576"/>
                <w:tab w:val="left" w:pos="864"/>
                <w:tab w:val="left" w:pos="1152"/>
              </w:tabs>
              <w:spacing w:before="40" w:after="40" w:line="210" w:lineRule="exact"/>
              <w:ind w:left="144" w:right="40"/>
              <w:jc w:val="right"/>
              <w:rPr>
                <w:sz w:val="17"/>
              </w:rPr>
            </w:pPr>
            <w:r w:rsidRPr="00A34450">
              <w:rPr>
                <w:sz w:val="17"/>
              </w:rPr>
              <w:t xml:space="preserve"> 2 </w:t>
            </w:r>
          </w:p>
        </w:tc>
      </w:tr>
      <w:tr w:rsidR="00EF5A7F" w:rsidRPr="00A34450" w14:paraId="3396B242" w14:textId="77777777" w:rsidTr="00EF5A7F">
        <w:tc>
          <w:tcPr>
            <w:tcW w:w="2439" w:type="dxa"/>
            <w:tcBorders>
              <w:bottom w:val="single" w:sz="4" w:space="0" w:color="auto"/>
            </w:tcBorders>
            <w:shd w:val="clear" w:color="auto" w:fill="auto"/>
            <w:vAlign w:val="bottom"/>
          </w:tcPr>
          <w:p w14:paraId="25B82330" w14:textId="77777777" w:rsidR="003F2E7C" w:rsidRPr="00A34450" w:rsidRDefault="003F2E7C" w:rsidP="00206464">
            <w:pPr>
              <w:tabs>
                <w:tab w:val="left" w:pos="288"/>
                <w:tab w:val="left" w:pos="576"/>
                <w:tab w:val="left" w:pos="864"/>
                <w:tab w:val="left" w:pos="1152"/>
              </w:tabs>
              <w:spacing w:before="40" w:after="81" w:line="210" w:lineRule="exact"/>
              <w:ind w:right="40"/>
              <w:rPr>
                <w:sz w:val="17"/>
              </w:rPr>
            </w:pPr>
            <w:r w:rsidRPr="00A34450">
              <w:rPr>
                <w:sz w:val="17"/>
              </w:rPr>
              <w:t>General Service and related</w:t>
            </w:r>
          </w:p>
        </w:tc>
        <w:tc>
          <w:tcPr>
            <w:tcW w:w="981" w:type="dxa"/>
            <w:tcBorders>
              <w:bottom w:val="single" w:sz="4" w:space="0" w:color="auto"/>
            </w:tcBorders>
            <w:shd w:val="clear" w:color="auto" w:fill="auto"/>
            <w:vAlign w:val="bottom"/>
          </w:tcPr>
          <w:p w14:paraId="242AA043"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p>
        </w:tc>
        <w:tc>
          <w:tcPr>
            <w:tcW w:w="1080" w:type="dxa"/>
            <w:tcBorders>
              <w:bottom w:val="single" w:sz="4" w:space="0" w:color="auto"/>
            </w:tcBorders>
            <w:shd w:val="clear" w:color="auto" w:fill="auto"/>
            <w:vAlign w:val="bottom"/>
          </w:tcPr>
          <w:p w14:paraId="1253012F"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sidRPr="00A34450">
              <w:rPr>
                <w:sz w:val="17"/>
              </w:rPr>
              <w:t xml:space="preserve"> 3 </w:t>
            </w:r>
          </w:p>
        </w:tc>
        <w:tc>
          <w:tcPr>
            <w:tcW w:w="990" w:type="dxa"/>
            <w:tcBorders>
              <w:bottom w:val="single" w:sz="4" w:space="0" w:color="auto"/>
            </w:tcBorders>
            <w:shd w:val="clear" w:color="auto" w:fill="auto"/>
            <w:vAlign w:val="bottom"/>
          </w:tcPr>
          <w:p w14:paraId="15612F8F"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w:t>
            </w:r>
            <w:r w:rsidRPr="00A34450">
              <w:rPr>
                <w:sz w:val="17"/>
              </w:rPr>
              <w:t xml:space="preserve"> </w:t>
            </w:r>
          </w:p>
        </w:tc>
        <w:tc>
          <w:tcPr>
            <w:tcW w:w="990" w:type="dxa"/>
            <w:tcBorders>
              <w:bottom w:val="single" w:sz="4" w:space="0" w:color="auto"/>
            </w:tcBorders>
            <w:shd w:val="clear" w:color="auto" w:fill="auto"/>
            <w:vAlign w:val="bottom"/>
          </w:tcPr>
          <w:p w14:paraId="4C6A3F5D"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w:t>
            </w:r>
            <w:r w:rsidRPr="00A34450">
              <w:rPr>
                <w:sz w:val="17"/>
              </w:rPr>
              <w:t xml:space="preserve"> </w:t>
            </w:r>
          </w:p>
        </w:tc>
        <w:tc>
          <w:tcPr>
            <w:tcW w:w="810" w:type="dxa"/>
            <w:tcBorders>
              <w:bottom w:val="single" w:sz="4" w:space="0" w:color="auto"/>
            </w:tcBorders>
            <w:shd w:val="clear" w:color="auto" w:fill="auto"/>
            <w:vAlign w:val="bottom"/>
          </w:tcPr>
          <w:p w14:paraId="230DB864"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w:t>
            </w:r>
            <w:r w:rsidRPr="00A34450">
              <w:rPr>
                <w:sz w:val="17"/>
              </w:rPr>
              <w:t xml:space="preserve"> </w:t>
            </w:r>
          </w:p>
        </w:tc>
        <w:tc>
          <w:tcPr>
            <w:tcW w:w="828" w:type="dxa"/>
            <w:tcBorders>
              <w:bottom w:val="single" w:sz="4" w:space="0" w:color="auto"/>
            </w:tcBorders>
            <w:shd w:val="clear" w:color="auto" w:fill="auto"/>
            <w:vAlign w:val="bottom"/>
          </w:tcPr>
          <w:p w14:paraId="6067937E"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w:t>
            </w:r>
            <w:r w:rsidRPr="00A34450">
              <w:rPr>
                <w:sz w:val="17"/>
              </w:rPr>
              <w:t xml:space="preserve"> </w:t>
            </w:r>
          </w:p>
        </w:tc>
        <w:tc>
          <w:tcPr>
            <w:tcW w:w="900" w:type="dxa"/>
            <w:tcBorders>
              <w:bottom w:val="single" w:sz="4" w:space="0" w:color="auto"/>
            </w:tcBorders>
            <w:shd w:val="clear" w:color="auto" w:fill="auto"/>
            <w:vAlign w:val="bottom"/>
          </w:tcPr>
          <w:p w14:paraId="00922756"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w:t>
            </w:r>
            <w:r w:rsidRPr="00A34450">
              <w:rPr>
                <w:sz w:val="17"/>
              </w:rPr>
              <w:t xml:space="preserve"> </w:t>
            </w:r>
          </w:p>
        </w:tc>
        <w:tc>
          <w:tcPr>
            <w:tcW w:w="828" w:type="dxa"/>
            <w:tcBorders>
              <w:bottom w:val="single" w:sz="4" w:space="0" w:color="auto"/>
            </w:tcBorders>
            <w:shd w:val="clear" w:color="auto" w:fill="auto"/>
            <w:vAlign w:val="bottom"/>
          </w:tcPr>
          <w:p w14:paraId="01FBCA90" w14:textId="77777777" w:rsidR="003F2E7C" w:rsidRPr="00A34450" w:rsidRDefault="003F2E7C" w:rsidP="00206464">
            <w:pPr>
              <w:tabs>
                <w:tab w:val="left" w:pos="288"/>
                <w:tab w:val="left" w:pos="576"/>
                <w:tab w:val="left" w:pos="864"/>
                <w:tab w:val="left" w:pos="1152"/>
              </w:tabs>
              <w:spacing w:before="40" w:after="81" w:line="210" w:lineRule="exact"/>
              <w:ind w:left="144" w:right="40"/>
              <w:jc w:val="right"/>
              <w:rPr>
                <w:sz w:val="17"/>
              </w:rPr>
            </w:pPr>
            <w:r w:rsidRPr="00A34450">
              <w:rPr>
                <w:sz w:val="17"/>
              </w:rPr>
              <w:t xml:space="preserve"> 3 </w:t>
            </w:r>
          </w:p>
        </w:tc>
      </w:tr>
      <w:tr w:rsidR="00EF5A7F" w:rsidRPr="00C74D96" w14:paraId="7AA233C1" w14:textId="77777777" w:rsidTr="00EF5A7F">
        <w:tc>
          <w:tcPr>
            <w:tcW w:w="2439" w:type="dxa"/>
            <w:tcBorders>
              <w:top w:val="single" w:sz="4" w:space="0" w:color="auto"/>
              <w:bottom w:val="single" w:sz="12" w:space="0" w:color="auto"/>
            </w:tcBorders>
            <w:shd w:val="clear" w:color="auto" w:fill="auto"/>
            <w:vAlign w:val="bottom"/>
          </w:tcPr>
          <w:p w14:paraId="374158F1" w14:textId="77777777" w:rsidR="003F2E7C" w:rsidRPr="00C74D96" w:rsidRDefault="003F2E7C" w:rsidP="00206464">
            <w:pPr>
              <w:tabs>
                <w:tab w:val="left" w:pos="288"/>
                <w:tab w:val="left" w:pos="576"/>
                <w:tab w:val="left" w:pos="864"/>
                <w:tab w:val="left" w:pos="1152"/>
              </w:tabs>
              <w:spacing w:before="81" w:after="81" w:line="210" w:lineRule="exact"/>
              <w:ind w:right="40"/>
              <w:rPr>
                <w:b/>
                <w:sz w:val="17"/>
              </w:rPr>
            </w:pPr>
            <w:r>
              <w:rPr>
                <w:b/>
                <w:sz w:val="17"/>
              </w:rPr>
              <w:tab/>
            </w:r>
            <w:r w:rsidRPr="00C74D96">
              <w:rPr>
                <w:b/>
                <w:sz w:val="17"/>
              </w:rPr>
              <w:t xml:space="preserve">Total </w:t>
            </w:r>
          </w:p>
        </w:tc>
        <w:tc>
          <w:tcPr>
            <w:tcW w:w="981" w:type="dxa"/>
            <w:tcBorders>
              <w:top w:val="single" w:sz="4" w:space="0" w:color="auto"/>
              <w:bottom w:val="single" w:sz="12" w:space="0" w:color="auto"/>
            </w:tcBorders>
            <w:shd w:val="clear" w:color="auto" w:fill="auto"/>
            <w:vAlign w:val="bottom"/>
          </w:tcPr>
          <w:p w14:paraId="60FDE144"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p>
        </w:tc>
        <w:tc>
          <w:tcPr>
            <w:tcW w:w="1080" w:type="dxa"/>
            <w:tcBorders>
              <w:top w:val="single" w:sz="4" w:space="0" w:color="auto"/>
              <w:bottom w:val="single" w:sz="12" w:space="0" w:color="auto"/>
            </w:tcBorders>
            <w:shd w:val="clear" w:color="auto" w:fill="auto"/>
            <w:vAlign w:val="bottom"/>
          </w:tcPr>
          <w:p w14:paraId="06B7C96B"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sidRPr="00C74D96">
              <w:rPr>
                <w:b/>
                <w:sz w:val="17"/>
              </w:rPr>
              <w:t xml:space="preserve"> 5 </w:t>
            </w:r>
          </w:p>
        </w:tc>
        <w:tc>
          <w:tcPr>
            <w:tcW w:w="990" w:type="dxa"/>
            <w:tcBorders>
              <w:top w:val="single" w:sz="4" w:space="0" w:color="auto"/>
              <w:bottom w:val="single" w:sz="12" w:space="0" w:color="auto"/>
            </w:tcBorders>
            <w:shd w:val="clear" w:color="auto" w:fill="auto"/>
            <w:vAlign w:val="bottom"/>
          </w:tcPr>
          <w:p w14:paraId="53B6CDEF"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74D96">
              <w:rPr>
                <w:b/>
                <w:sz w:val="17"/>
              </w:rPr>
              <w:t xml:space="preserve">– </w:t>
            </w:r>
          </w:p>
        </w:tc>
        <w:tc>
          <w:tcPr>
            <w:tcW w:w="990" w:type="dxa"/>
            <w:tcBorders>
              <w:top w:val="single" w:sz="4" w:space="0" w:color="auto"/>
              <w:bottom w:val="single" w:sz="12" w:space="0" w:color="auto"/>
            </w:tcBorders>
            <w:shd w:val="clear" w:color="auto" w:fill="auto"/>
            <w:vAlign w:val="bottom"/>
          </w:tcPr>
          <w:p w14:paraId="27072F47"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74D96">
              <w:rPr>
                <w:b/>
                <w:sz w:val="17"/>
              </w:rPr>
              <w:t xml:space="preserve">– </w:t>
            </w:r>
          </w:p>
        </w:tc>
        <w:tc>
          <w:tcPr>
            <w:tcW w:w="810" w:type="dxa"/>
            <w:tcBorders>
              <w:top w:val="single" w:sz="4" w:space="0" w:color="auto"/>
              <w:bottom w:val="single" w:sz="12" w:space="0" w:color="auto"/>
            </w:tcBorders>
            <w:shd w:val="clear" w:color="auto" w:fill="auto"/>
            <w:vAlign w:val="bottom"/>
          </w:tcPr>
          <w:p w14:paraId="59AD8E62"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74D96">
              <w:rPr>
                <w:b/>
                <w:sz w:val="17"/>
              </w:rPr>
              <w:t xml:space="preserve">– </w:t>
            </w:r>
          </w:p>
        </w:tc>
        <w:tc>
          <w:tcPr>
            <w:tcW w:w="828" w:type="dxa"/>
            <w:tcBorders>
              <w:top w:val="single" w:sz="4" w:space="0" w:color="auto"/>
              <w:bottom w:val="single" w:sz="12" w:space="0" w:color="auto"/>
            </w:tcBorders>
            <w:shd w:val="clear" w:color="auto" w:fill="auto"/>
            <w:vAlign w:val="bottom"/>
          </w:tcPr>
          <w:p w14:paraId="723C2C67"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74D96">
              <w:rPr>
                <w:b/>
                <w:sz w:val="17"/>
              </w:rPr>
              <w:t xml:space="preserve">– </w:t>
            </w:r>
          </w:p>
        </w:tc>
        <w:tc>
          <w:tcPr>
            <w:tcW w:w="900" w:type="dxa"/>
            <w:tcBorders>
              <w:top w:val="single" w:sz="4" w:space="0" w:color="auto"/>
              <w:bottom w:val="single" w:sz="12" w:space="0" w:color="auto"/>
            </w:tcBorders>
            <w:shd w:val="clear" w:color="auto" w:fill="auto"/>
            <w:vAlign w:val="bottom"/>
          </w:tcPr>
          <w:p w14:paraId="09804D5A"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74D96">
              <w:rPr>
                <w:b/>
                <w:sz w:val="17"/>
              </w:rPr>
              <w:t xml:space="preserve">– </w:t>
            </w:r>
          </w:p>
        </w:tc>
        <w:tc>
          <w:tcPr>
            <w:tcW w:w="828" w:type="dxa"/>
            <w:tcBorders>
              <w:top w:val="single" w:sz="4" w:space="0" w:color="auto"/>
              <w:bottom w:val="single" w:sz="12" w:space="0" w:color="auto"/>
            </w:tcBorders>
            <w:shd w:val="clear" w:color="auto" w:fill="auto"/>
            <w:vAlign w:val="bottom"/>
          </w:tcPr>
          <w:p w14:paraId="1A2438C2" w14:textId="77777777" w:rsidR="003F2E7C" w:rsidRPr="00C74D96" w:rsidRDefault="003F2E7C" w:rsidP="00206464">
            <w:pPr>
              <w:tabs>
                <w:tab w:val="left" w:pos="288"/>
                <w:tab w:val="left" w:pos="576"/>
                <w:tab w:val="left" w:pos="864"/>
                <w:tab w:val="left" w:pos="1152"/>
              </w:tabs>
              <w:spacing w:before="81" w:after="81" w:line="210" w:lineRule="exact"/>
              <w:ind w:left="144" w:right="40"/>
              <w:jc w:val="right"/>
              <w:rPr>
                <w:b/>
                <w:sz w:val="17"/>
              </w:rPr>
            </w:pPr>
            <w:r w:rsidRPr="00C74D96">
              <w:rPr>
                <w:b/>
                <w:sz w:val="17"/>
              </w:rPr>
              <w:t xml:space="preserve"> 5 </w:t>
            </w:r>
          </w:p>
        </w:tc>
      </w:tr>
    </w:tbl>
    <w:p w14:paraId="429C7C3E" w14:textId="77777777" w:rsidR="003F2E7C" w:rsidRPr="00921336"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21336">
        <w:rPr>
          <w:b w:val="0"/>
          <w:bCs/>
        </w:rPr>
        <w:lastRenderedPageBreak/>
        <w:t>Figure 15.XIII</w:t>
      </w:r>
    </w:p>
    <w:p w14:paraId="0857292C"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 xml:space="preserve">Policymaking organs: distribution of proposed resources for 2022 (before recosting) </w:t>
      </w:r>
    </w:p>
    <w:p w14:paraId="12D33DE0" w14:textId="77777777" w:rsidR="003F2E7C" w:rsidRPr="00921336" w:rsidRDefault="003F2E7C" w:rsidP="003F2E7C">
      <w:pPr>
        <w:rPr>
          <w:sz w:val="14"/>
          <w:szCs w:val="14"/>
        </w:rPr>
      </w:pPr>
      <w:r w:rsidRPr="00921336">
        <w:rPr>
          <w:sz w:val="14"/>
          <w:szCs w:val="14"/>
        </w:rPr>
        <w:t>(Number of posts/thousands of United States dollars)</w:t>
      </w:r>
    </w:p>
    <w:p w14:paraId="4CF97964" w14:textId="6578BC28" w:rsidR="003F2E7C" w:rsidRPr="00F95C9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9B2C1F4" w14:textId="26EB93B5" w:rsidR="003F2E7C" w:rsidRPr="00F95C98" w:rsidRDefault="00EF5A7F"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lang w:val="en-US"/>
        </w:rPr>
        <w:drawing>
          <wp:anchor distT="0" distB="0" distL="114300" distR="114300" simplePos="0" relativeHeight="251688960" behindDoc="0" locked="0" layoutInCell="1" allowOverlap="1" wp14:anchorId="46A51C3B" wp14:editId="7DCDC32F">
            <wp:simplePos x="0" y="0"/>
            <wp:positionH relativeFrom="margin">
              <wp:align>right</wp:align>
            </wp:positionH>
            <wp:positionV relativeFrom="paragraph">
              <wp:posOffset>80645</wp:posOffset>
            </wp:positionV>
            <wp:extent cx="6257925" cy="3316605"/>
            <wp:effectExtent l="0" t="0" r="9525"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4">
                      <a:extLst>
                        <a:ext uri="{28A0092B-C50C-407E-A947-70E740481C1C}">
                          <a14:useLocalDpi xmlns:a14="http://schemas.microsoft.com/office/drawing/2010/main" val="0"/>
                        </a:ext>
                      </a:extLst>
                    </a:blip>
                    <a:srcRect l="16605" r="18423" b="8927"/>
                    <a:stretch/>
                  </pic:blipFill>
                  <pic:spPr bwMode="auto">
                    <a:xfrm>
                      <a:off x="0" y="0"/>
                      <a:ext cx="6257925" cy="33166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7E2C6B8" w14:textId="77777777" w:rsidR="003F2E7C" w:rsidRPr="00F95C9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1EE5810" w14:textId="77777777" w:rsidR="003F2E7C" w:rsidRPr="00F95C9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FB521C5"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w:t>
      </w:r>
      <w:r>
        <w:t>40</w:t>
      </w:r>
      <w:r w:rsidRPr="00E96905">
        <w:tab/>
        <w:t xml:space="preserve">Extrabudgetary resources for policymaking organs are estimated at $902,700 and would provide for one post (1 P-3), as well as non-post resources. The resources would be used mainly to provide support to the policymaking organs of UN-Habitat. These resources would complement the regular budget resources and enhance the capacity of the Governing Bodies Secretariat to support the new governance structure of UN-Habitat, including the co-financing meetings of the Executive Board. The decrease of $601,500 is attributable mainly to the lesser projected contributions under the foundation for non-earmarked funds in 2022. </w:t>
      </w:r>
    </w:p>
    <w:p w14:paraId="62DD791A" w14:textId="77777777" w:rsidR="003F2E7C" w:rsidRPr="00F95C9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57BC212" w14:textId="77777777" w:rsidR="003F2E7C" w:rsidRPr="00F95C9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7D10E65" w14:textId="77777777" w:rsidR="003F2E7C" w:rsidRPr="00E96905" w:rsidRDefault="003F2E7C" w:rsidP="003F2E7C">
      <w:pPr>
        <w:pStyle w:val="H1"/>
        <w:ind w:right="1260"/>
      </w:pPr>
      <w:r w:rsidRPr="00E96905">
        <w:tab/>
      </w:r>
      <w:r w:rsidRPr="00E96905">
        <w:tab/>
        <w:t>Executive direction and management</w:t>
      </w:r>
    </w:p>
    <w:p w14:paraId="0A221B13" w14:textId="77777777" w:rsidR="003F2E7C" w:rsidRPr="00F95C98" w:rsidRDefault="003F2E7C" w:rsidP="003F2E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9756E55" w14:textId="77777777" w:rsidR="003F2E7C" w:rsidRPr="00F95C98" w:rsidRDefault="003F2E7C" w:rsidP="003F2E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916A932" w14:textId="77777777" w:rsidR="003F2E7C" w:rsidRPr="00E96905" w:rsidRDefault="003F2E7C" w:rsidP="003F2E7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15.14</w:t>
      </w:r>
      <w:r>
        <w:t>1</w:t>
      </w:r>
      <w:r w:rsidRPr="00E96905">
        <w:tab/>
        <w:t>The executive direction and management component comprises the Office of the Executive Director, the Office of the Deputy Executive Director, the Office of the Chief of Staff, liaison offices in New York, Brussels, Bangkok and Geneva, the Governing Bodies Secretariat, the Legal Unit and the Independent Evaluation Unit. The Executive Director is also supported by the Office of the Principal Adviser, which undertakes special assignments.</w:t>
      </w:r>
    </w:p>
    <w:p w14:paraId="45658F5F"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15.14</w:t>
      </w:r>
      <w:r>
        <w:t>2</w:t>
      </w:r>
      <w:r w:rsidRPr="00E96905">
        <w:tab/>
        <w:t>The overall responsibilities of the executive direction and management component include the following functions:</w:t>
      </w:r>
    </w:p>
    <w:p w14:paraId="643A0FCB"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(a)</w:t>
      </w:r>
      <w:r w:rsidRPr="00E96905">
        <w:tab/>
        <w:t>To provide overall direction, translating the vision of the Executive Director and the guidance from the Executive Board into the Programme’s work priorities;</w:t>
      </w:r>
    </w:p>
    <w:p w14:paraId="227CC83F"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(b)</w:t>
      </w:r>
      <w:r w:rsidRPr="00E96905">
        <w:tab/>
        <w:t>To foster relationships with Member States and keep abreast of the needs of the Executive Board, the Committee of Permanent Representatives, the UN-Habitat Assembly and stakeholders affiliated with the Economic and Social Council;</w:t>
      </w:r>
    </w:p>
    <w:p w14:paraId="281AE923"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rsidRPr="00E96905">
        <w:tab/>
        <w:t>(c)</w:t>
      </w:r>
      <w:r w:rsidRPr="00E96905">
        <w:tab/>
        <w:t xml:space="preserve">To coordinate the planning and ensure the implementation of the UN-Habitat strategic plan by ensuring the overall effectiveness of the Programme’s organizational structure. It provides direction and alignment through the Executive Committee, which is chaired by the Executive </w:t>
      </w:r>
      <w:r w:rsidRPr="00E96905">
        <w:lastRenderedPageBreak/>
        <w:t>Director, whom it assists in providing policy direction in order to ensure the effectiveness of the Programme;</w:t>
      </w:r>
    </w:p>
    <w:p w14:paraId="2B6EABCC"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tab/>
      </w:r>
      <w:r w:rsidRPr="00E96905">
        <w:t>(d)</w:t>
      </w:r>
      <w:r w:rsidRPr="00E96905">
        <w:tab/>
        <w:t>To contribute, in close cooperation with other United Nations agencies, to discussions on, and the implementation of, United Nations reforms, in particular in relation to improving system-wide coherence in United Nations development work, with a special focus on sustainable urbanization;</w:t>
      </w:r>
    </w:p>
    <w:p w14:paraId="4FC180E8"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742" w:hanging="1742"/>
        <w:jc w:val="both"/>
      </w:pPr>
      <w:r w:rsidRPr="00E96905">
        <w:tab/>
      </w:r>
      <w:r>
        <w:tab/>
      </w:r>
      <w:r w:rsidRPr="00E96905">
        <w:t>(e)</w:t>
      </w:r>
      <w:r w:rsidRPr="00E96905">
        <w:tab/>
        <w:t>To foster the mainstreaming of gender and disability inclusion into the four subprogrammes of UN-Habitat.</w:t>
      </w:r>
      <w:r>
        <w:t xml:space="preserve"> </w:t>
      </w:r>
    </w:p>
    <w:p w14:paraId="4D7B2F47"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15.14</w:t>
      </w:r>
      <w:r>
        <w:t>3</w:t>
      </w:r>
      <w:r w:rsidRPr="00E96905">
        <w:tab/>
        <w:t>The Executive Director has the overall responsibility to provide policy guidance and leadership for the Programme. The Executive Director is supported by the Deputy Executive Director and an Executive Committee, which comprises all division directors and coordinates with them in setting the work priorities for the Programme. This includes establishing policies, providing strategic direction with regard to the programme of work and relations with Member States, coordinating with the United Nations Secretariat, reporting to the General Assembly and the Economic and Social Council and overseeing and developing relations with other United Nations entities and with non</w:t>
      </w:r>
      <w:r>
        <w:noBreakHyphen/>
      </w:r>
      <w:r w:rsidRPr="00E96905">
        <w:t>United Nations organizations, the private sector, civil society and non-governmental organizations.</w:t>
      </w:r>
    </w:p>
    <w:p w14:paraId="09D19F52" w14:textId="1D7918CA"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15.14</w:t>
      </w:r>
      <w:r>
        <w:t>4</w:t>
      </w:r>
      <w:r w:rsidRPr="00E96905">
        <w:tab/>
        <w:t>The Office of the Deputy Executive Director chairs the Programme Management Committee, provides guidance and ensures the overall coordination of</w:t>
      </w:r>
      <w:r>
        <w:t xml:space="preserve"> </w:t>
      </w:r>
      <w:r w:rsidRPr="00E96905">
        <w:t>programme management (planning, monitoring and reporting) for UN-Habitat. In collaboration with division directors, the Office of the Deputy Executive Director helps to ensure that targets are set, monitored and reported on effectively. The Deputy Executive Director also chairs the Project Review Committee,</w:t>
      </w:r>
      <w:r>
        <w:t xml:space="preserve"> </w:t>
      </w:r>
      <w:r w:rsidRPr="00E96905">
        <w:t>ensuring overall alignment between the programme of work of UN-Habitat and budgetary requirements, and ensuring that projects contribute effectively to the impact targets established under the UN-Habitat strategic plan. The Deputy Executive Director also provides guidance and strategic direction to division directors by chairing the Risk Management Committee and the Publications Committee. The Deputy Executive Director is also overseeing the UN-Habitat restructuring exercise, which includes policy guidance for the Programme’s field operations.</w:t>
      </w:r>
    </w:p>
    <w:p w14:paraId="49D9CF2D"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15.14</w:t>
      </w:r>
      <w:r>
        <w:t>5</w:t>
      </w:r>
      <w:r w:rsidRPr="00E96905">
        <w:tab/>
        <w:t>The Office of the Chief of Staff is tasked with ensuring the smooth operation of the Programme; it ensures an equitable and safe work environment and maintains good relations with Member States with regard to substantive, political, procedural and managerial questions. The Chief of Staff is the Secretary of the Executive Committee and helps to prepare information regarding key policy, budgetary, human resources and other operational matters for the consideration of the Executive Director. The Chief of Staff is also the Secretary of the Staff-Management Consultative Committee and is the main focal point for matters related to</w:t>
      </w:r>
      <w:r>
        <w:t xml:space="preserve"> </w:t>
      </w:r>
      <w:r w:rsidRPr="00E96905">
        <w:t>the United Nations Staff Union, providing an open channel to address and resolve any grievances in order to ensure a positive work environment for all staff and personnel. The Chief of Staff also manages internal communications relating to the organization of town hall meetings, oversees the publication of a biweekly internal newsletter and issues weekly broadcast updates to all staff.</w:t>
      </w:r>
    </w:p>
    <w:p w14:paraId="43EDC8A4"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15.14</w:t>
      </w:r>
      <w:r>
        <w:t>6</w:t>
      </w:r>
      <w:r w:rsidRPr="00E96905">
        <w:tab/>
        <w:t>The Governing Bodies Secretariat supports the efficient and effective implementation of the legislative and governance framework by convening the UN-Habitat Assembly, high-level meetings of the Committee of Permanent Representatives, meetings of the Executive Board and briefings by the Executive Director. The Secretary of the Governing Bodies also facilitates informal meetings of regional groups and, in coordination with the Chief of Staff, supports the Executive Director by providing inputs to procedural and managerial questions.</w:t>
      </w:r>
    </w:p>
    <w:p w14:paraId="14370682"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15.14</w:t>
      </w:r>
      <w:r>
        <w:t>7</w:t>
      </w:r>
      <w:r w:rsidRPr="00E96905">
        <w:tab/>
        <w:t xml:space="preserve">Through its liaison offices in New York, Brussels, Bangkok and Geneva, the Office of the Executive Director ensures that the Programme is aligned with the wider goals of the United Nations. The Executive Director provides guidance to the Regional Programmes Division in order to ensure that the expertise of UN-Habitat in the area of sustainable urbanization provides added value in the context of its work with regional commissions and United Nations entities on programmatic and technical cooperation issues in support of the resident coordinator system. </w:t>
      </w:r>
    </w:p>
    <w:p w14:paraId="1E017548"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lastRenderedPageBreak/>
        <w:tab/>
      </w:r>
      <w:r w:rsidRPr="00E96905">
        <w:t>15.14</w:t>
      </w:r>
      <w:r>
        <w:t>8</w:t>
      </w:r>
      <w:r w:rsidRPr="00E96905">
        <w:tab/>
        <w:t>The Office of the Principal Adviser, which is under the direct supervision of the Executive Director, coordinates with division directors in establishing the overall position of the Programme on selected key issues related to its mandate. This role ensures cohesiveness and alignment with the broader work of the Secretariat, strengthening the overall position of the United Nations in the urban and human settlements context. The Principal Special Assistant supports the Deputy Executive Director by chairing the Project Review Committee working group, whose main function is to ensure that colleagues work together to develop concept notes and project proposals that contribute to the</w:t>
      </w:r>
      <w:r>
        <w:t xml:space="preserve"> </w:t>
      </w:r>
      <w:r w:rsidRPr="00E96905">
        <w:t>normative and operational work of the Programme. The Principal Special Assistant also undertakes special assignments related to resource mobilization and private sector engagement.</w:t>
      </w:r>
    </w:p>
    <w:p w14:paraId="38FD0CA5" w14:textId="77777777" w:rsidR="003F2E7C" w:rsidRPr="00EF5A7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spacing w:val="2"/>
        </w:rPr>
      </w:pPr>
      <w:r w:rsidRPr="00EF5A7F">
        <w:rPr>
          <w:spacing w:val="2"/>
        </w:rPr>
        <w:tab/>
        <w:t>15.149</w:t>
      </w:r>
      <w:r w:rsidRPr="00EF5A7F">
        <w:rPr>
          <w:spacing w:val="2"/>
        </w:rPr>
        <w:tab/>
        <w:t>The Office of the Executive Director, through the Legal Unit and the Independent Evaluation Unit, both of which are under the direct supervision of the Executive Director, ensures transparent and ethical management of the Programme. The Office of the Executive Director is also the focal point for matters related to the Office of Internal Oversight Services and other United Nations investigative functions.</w:t>
      </w:r>
    </w:p>
    <w:p w14:paraId="5EDAE657" w14:textId="52AE6258" w:rsidR="003F2E7C" w:rsidRPr="00EF5A7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rPr>
          <w:spacing w:val="2"/>
        </w:rPr>
      </w:pPr>
      <w:r w:rsidRPr="00EF5A7F">
        <w:rPr>
          <w:spacing w:val="2"/>
        </w:rPr>
        <w:tab/>
        <w:t>15.150</w:t>
      </w:r>
      <w:r w:rsidRPr="00EF5A7F">
        <w:rPr>
          <w:spacing w:val="2"/>
        </w:rPr>
        <w:tab/>
        <w:t xml:space="preserve">In accordance with the 2030 Agenda, in particular target 12.6 of the Sustainable Development Goals, organizations are encouraged to integrate sustainability information into their reporting cycles, and, in compliance with the cross-cutting mandate set out in paragraph 19 of General Assembly resolution </w:t>
      </w:r>
      <w:hyperlink r:id="rId95" w:history="1">
        <w:r w:rsidRPr="00EF5A7F">
          <w:rPr>
            <w:rStyle w:val="Hyperlink"/>
            <w:spacing w:val="2"/>
          </w:rPr>
          <w:t>72/219</w:t>
        </w:r>
      </w:hyperlink>
      <w:r w:rsidRPr="00EF5A7F">
        <w:rPr>
          <w:spacing w:val="2"/>
        </w:rPr>
        <w:t>, UN-Habitat continues to incrementally improve the environmental management performance of its operations and facilities management in a number of ways. In 2020, in partnership with the Secretariat and in accordance with the United Nations Framework Convention on Climate Change, UN-Habitat offset all its greenhouse gas emissions. In the same year, UN-Habitat compiled a more comprehensive emissions inventory for the “Greening the Blue” report of UNEP; that inventory will serve as the institutional baseline going forward, and efforts are being made to include measured data from larger regional offices in the information for the 2021 report. Furthermore, UN</w:t>
      </w:r>
      <w:r w:rsidRPr="00EF5A7F">
        <w:rPr>
          <w:spacing w:val="2"/>
        </w:rPr>
        <w:noBreakHyphen/>
        <w:t>Habitat continues to participate in the zero-plastic and recycling programme at the United Nations Office at Nairobi. UN-Habitat also partakes in a comprehensive waste management and recycling scheme whereby waste is sorted at source in offices. In addition, the main UN-Habitat office building in Nairobi is powered by a partial solar photovoltaic electricity system. Finally, UN</w:t>
      </w:r>
      <w:r w:rsidRPr="00EF5A7F">
        <w:rPr>
          <w:spacing w:val="2"/>
        </w:rPr>
        <w:noBreakHyphen/>
        <w:t xml:space="preserve">Habitat complies with the principles of paperless meetings, whereby all Executive Board and UN-Habitat Assembly meetings are paper-free and conference materials are shared by USB drive, electronically or through applications. In addition to its efforts in relation to operational matters, and in alignment with the expanded scope of the Strategy for Sustainability Management in the United Nations System, 2020–2030, UN-Habitat has made progress in revamping its Environmental and Social Safeguards System in order to reduce the environmental impact of its programmes and projects. </w:t>
      </w:r>
    </w:p>
    <w:p w14:paraId="0EC36DA0" w14:textId="77777777"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15.15</w:t>
      </w:r>
      <w:r>
        <w:t>1</w:t>
      </w:r>
      <w:r w:rsidRPr="00E96905">
        <w:tab/>
        <w:t>Information on compliance with the timely submission of documentation and advance booking for air travel is reflected in table 15.19.</w:t>
      </w:r>
      <w:r>
        <w:t xml:space="preserve"> </w:t>
      </w:r>
      <w:r w:rsidRPr="00E96905">
        <w:t xml:space="preserve">In 2020, UN-Habitat initiated a procedure whereby any travel request not in compliance with the United Nations advance booking policy would have to be cleared by the Office of the Executive Director. However, as the procedure was being implemented the COVID-19 pandemic began and UN-Habitat travel was significantly reduced. Therefore, the results of the new procedure could only be partially assessed in 2020. The percentage of air tickets purchased at least two weeks before the commencement of travel improved significantly, from 19 per cent in 2019 to 51 per cent in 2020. Starting in 2021, UN-Habitat will review compliance with the United Nations advance booking policy on a quarterly basis. </w:t>
      </w:r>
    </w:p>
    <w:p w14:paraId="7A515AAE" w14:textId="77777777" w:rsidR="003F2E7C" w:rsidRPr="009070C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E10B0F6" w14:textId="77777777" w:rsidR="003F2E7C" w:rsidRPr="009070C8"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070C8">
        <w:rPr>
          <w:b w:val="0"/>
          <w:bCs/>
        </w:rPr>
        <w:t>Table 15.19</w:t>
      </w:r>
    </w:p>
    <w:p w14:paraId="016188A4"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 xml:space="preserve">Compliance rate </w:t>
      </w:r>
    </w:p>
    <w:p w14:paraId="15C3A2B2" w14:textId="77777777" w:rsidR="003F2E7C" w:rsidRPr="009070C8" w:rsidRDefault="003F2E7C" w:rsidP="003F2E7C">
      <w:pPr>
        <w:rPr>
          <w:sz w:val="14"/>
          <w:szCs w:val="14"/>
        </w:rPr>
      </w:pPr>
      <w:r w:rsidRPr="009070C8">
        <w:rPr>
          <w:sz w:val="14"/>
          <w:szCs w:val="14"/>
        </w:rPr>
        <w:t>(Percentage)</w:t>
      </w:r>
    </w:p>
    <w:p w14:paraId="0D45331A" w14:textId="77777777" w:rsidR="003F2E7C" w:rsidRPr="009070C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2C62069" w14:textId="77777777" w:rsidR="003F2E7C" w:rsidRPr="009070C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90"/>
        <w:gridCol w:w="865"/>
        <w:gridCol w:w="865"/>
        <w:gridCol w:w="865"/>
        <w:gridCol w:w="865"/>
      </w:tblGrid>
      <w:tr w:rsidR="003F2E7C" w:rsidRPr="009070C8" w14:paraId="2264EF66" w14:textId="77777777" w:rsidTr="00EF5A7F">
        <w:trPr>
          <w:trHeight w:val="170"/>
          <w:tblHeader/>
        </w:trPr>
        <w:tc>
          <w:tcPr>
            <w:tcW w:w="6390" w:type="dxa"/>
            <w:tcBorders>
              <w:top w:val="single" w:sz="4" w:space="0" w:color="auto"/>
              <w:bottom w:val="single" w:sz="12" w:space="0" w:color="auto"/>
            </w:tcBorders>
            <w:shd w:val="clear" w:color="auto" w:fill="auto"/>
            <w:vAlign w:val="bottom"/>
          </w:tcPr>
          <w:p w14:paraId="75D62190" w14:textId="77777777" w:rsidR="003F2E7C" w:rsidRPr="009070C8" w:rsidRDefault="003F2E7C" w:rsidP="00206464">
            <w:pPr>
              <w:spacing w:before="81" w:after="81" w:line="160" w:lineRule="exact"/>
              <w:ind w:right="40"/>
              <w:rPr>
                <w:i/>
                <w:sz w:val="14"/>
              </w:rPr>
            </w:pPr>
          </w:p>
        </w:tc>
        <w:tc>
          <w:tcPr>
            <w:tcW w:w="865" w:type="dxa"/>
            <w:tcBorders>
              <w:top w:val="single" w:sz="4" w:space="0" w:color="auto"/>
              <w:bottom w:val="single" w:sz="12" w:space="0" w:color="auto"/>
            </w:tcBorders>
            <w:shd w:val="clear" w:color="auto" w:fill="auto"/>
            <w:vAlign w:val="bottom"/>
          </w:tcPr>
          <w:p w14:paraId="32D28976" w14:textId="77777777" w:rsidR="003F2E7C" w:rsidRPr="009070C8" w:rsidRDefault="003F2E7C" w:rsidP="00206464">
            <w:pPr>
              <w:spacing w:before="81" w:after="81" w:line="160" w:lineRule="exact"/>
              <w:ind w:left="144" w:right="40"/>
              <w:jc w:val="right"/>
              <w:rPr>
                <w:i/>
                <w:sz w:val="14"/>
              </w:rPr>
            </w:pPr>
            <w:r w:rsidRPr="009070C8">
              <w:rPr>
                <w:i/>
                <w:sz w:val="14"/>
              </w:rPr>
              <w:t>Actual 2019</w:t>
            </w:r>
          </w:p>
        </w:tc>
        <w:tc>
          <w:tcPr>
            <w:tcW w:w="865" w:type="dxa"/>
            <w:tcBorders>
              <w:top w:val="single" w:sz="4" w:space="0" w:color="auto"/>
              <w:bottom w:val="single" w:sz="12" w:space="0" w:color="auto"/>
            </w:tcBorders>
            <w:shd w:val="clear" w:color="auto" w:fill="auto"/>
            <w:vAlign w:val="bottom"/>
          </w:tcPr>
          <w:p w14:paraId="51F04490" w14:textId="77777777" w:rsidR="003F2E7C" w:rsidRPr="009070C8" w:rsidRDefault="003F2E7C" w:rsidP="00206464">
            <w:pPr>
              <w:spacing w:before="81" w:after="81" w:line="160" w:lineRule="exact"/>
              <w:ind w:left="144" w:right="40"/>
              <w:jc w:val="right"/>
              <w:rPr>
                <w:i/>
                <w:sz w:val="14"/>
              </w:rPr>
            </w:pPr>
            <w:r w:rsidRPr="009070C8">
              <w:rPr>
                <w:i/>
                <w:sz w:val="14"/>
              </w:rPr>
              <w:t>Actual 2020</w:t>
            </w:r>
          </w:p>
        </w:tc>
        <w:tc>
          <w:tcPr>
            <w:tcW w:w="865" w:type="dxa"/>
            <w:tcBorders>
              <w:top w:val="single" w:sz="4" w:space="0" w:color="auto"/>
              <w:bottom w:val="single" w:sz="12" w:space="0" w:color="auto"/>
            </w:tcBorders>
            <w:shd w:val="clear" w:color="auto" w:fill="auto"/>
            <w:vAlign w:val="bottom"/>
          </w:tcPr>
          <w:p w14:paraId="09833A35" w14:textId="77777777" w:rsidR="003F2E7C" w:rsidRPr="009070C8" w:rsidRDefault="003F2E7C" w:rsidP="00206464">
            <w:pPr>
              <w:spacing w:before="81" w:after="81" w:line="160" w:lineRule="exact"/>
              <w:ind w:left="144" w:right="40"/>
              <w:jc w:val="right"/>
              <w:rPr>
                <w:i/>
                <w:sz w:val="14"/>
              </w:rPr>
            </w:pPr>
            <w:r w:rsidRPr="009070C8">
              <w:rPr>
                <w:i/>
                <w:sz w:val="14"/>
              </w:rPr>
              <w:t>Planned 2021</w:t>
            </w:r>
          </w:p>
        </w:tc>
        <w:tc>
          <w:tcPr>
            <w:tcW w:w="865" w:type="dxa"/>
            <w:tcBorders>
              <w:top w:val="single" w:sz="4" w:space="0" w:color="auto"/>
              <w:bottom w:val="single" w:sz="12" w:space="0" w:color="auto"/>
            </w:tcBorders>
            <w:shd w:val="clear" w:color="auto" w:fill="auto"/>
            <w:vAlign w:val="bottom"/>
          </w:tcPr>
          <w:p w14:paraId="0A5CBA54" w14:textId="77777777" w:rsidR="003F2E7C" w:rsidRPr="009070C8" w:rsidRDefault="003F2E7C" w:rsidP="00206464">
            <w:pPr>
              <w:spacing w:before="81" w:after="81" w:line="160" w:lineRule="exact"/>
              <w:ind w:left="144" w:right="40"/>
              <w:jc w:val="right"/>
              <w:rPr>
                <w:i/>
                <w:sz w:val="14"/>
              </w:rPr>
            </w:pPr>
            <w:r w:rsidRPr="009070C8">
              <w:rPr>
                <w:i/>
                <w:sz w:val="14"/>
              </w:rPr>
              <w:t>Planned 2022</w:t>
            </w:r>
          </w:p>
        </w:tc>
      </w:tr>
      <w:tr w:rsidR="003F2E7C" w:rsidRPr="009070C8" w14:paraId="21A5B5F3" w14:textId="77777777" w:rsidTr="00206464">
        <w:trPr>
          <w:trHeight w:hRule="exact" w:val="115"/>
          <w:tblHeader/>
        </w:trPr>
        <w:tc>
          <w:tcPr>
            <w:tcW w:w="6390" w:type="dxa"/>
            <w:tcBorders>
              <w:top w:val="single" w:sz="12" w:space="0" w:color="auto"/>
            </w:tcBorders>
            <w:shd w:val="clear" w:color="auto" w:fill="auto"/>
            <w:vAlign w:val="bottom"/>
          </w:tcPr>
          <w:p w14:paraId="1540EF74" w14:textId="77777777" w:rsidR="003F2E7C" w:rsidRPr="009070C8" w:rsidRDefault="003F2E7C" w:rsidP="00206464">
            <w:pPr>
              <w:spacing w:before="40" w:after="40" w:line="210" w:lineRule="exact"/>
              <w:ind w:right="40"/>
              <w:rPr>
                <w:sz w:val="17"/>
              </w:rPr>
            </w:pPr>
          </w:p>
        </w:tc>
        <w:tc>
          <w:tcPr>
            <w:tcW w:w="865" w:type="dxa"/>
            <w:tcBorders>
              <w:top w:val="single" w:sz="12" w:space="0" w:color="auto"/>
            </w:tcBorders>
            <w:shd w:val="clear" w:color="auto" w:fill="auto"/>
            <w:vAlign w:val="bottom"/>
          </w:tcPr>
          <w:p w14:paraId="772EEEFB" w14:textId="77777777" w:rsidR="003F2E7C" w:rsidRPr="009070C8" w:rsidRDefault="003F2E7C" w:rsidP="00206464">
            <w:pPr>
              <w:spacing w:before="40" w:after="40" w:line="210" w:lineRule="exact"/>
              <w:ind w:left="144" w:right="40"/>
              <w:jc w:val="right"/>
              <w:rPr>
                <w:sz w:val="17"/>
              </w:rPr>
            </w:pPr>
          </w:p>
        </w:tc>
        <w:tc>
          <w:tcPr>
            <w:tcW w:w="865" w:type="dxa"/>
            <w:tcBorders>
              <w:top w:val="single" w:sz="12" w:space="0" w:color="auto"/>
            </w:tcBorders>
            <w:shd w:val="clear" w:color="auto" w:fill="auto"/>
            <w:vAlign w:val="bottom"/>
          </w:tcPr>
          <w:p w14:paraId="5E931C13" w14:textId="77777777" w:rsidR="003F2E7C" w:rsidRPr="009070C8" w:rsidRDefault="003F2E7C" w:rsidP="00206464">
            <w:pPr>
              <w:spacing w:before="40" w:after="40" w:line="210" w:lineRule="exact"/>
              <w:ind w:left="144" w:right="40"/>
              <w:jc w:val="right"/>
              <w:rPr>
                <w:sz w:val="17"/>
              </w:rPr>
            </w:pPr>
          </w:p>
        </w:tc>
        <w:tc>
          <w:tcPr>
            <w:tcW w:w="865" w:type="dxa"/>
            <w:tcBorders>
              <w:top w:val="single" w:sz="12" w:space="0" w:color="auto"/>
            </w:tcBorders>
            <w:shd w:val="clear" w:color="auto" w:fill="auto"/>
            <w:vAlign w:val="bottom"/>
          </w:tcPr>
          <w:p w14:paraId="4CA8FFB6" w14:textId="77777777" w:rsidR="003F2E7C" w:rsidRPr="009070C8" w:rsidRDefault="003F2E7C" w:rsidP="00206464">
            <w:pPr>
              <w:spacing w:before="40" w:after="40" w:line="210" w:lineRule="exact"/>
              <w:ind w:left="144" w:right="40"/>
              <w:jc w:val="right"/>
              <w:rPr>
                <w:sz w:val="17"/>
              </w:rPr>
            </w:pPr>
          </w:p>
        </w:tc>
        <w:tc>
          <w:tcPr>
            <w:tcW w:w="865" w:type="dxa"/>
            <w:tcBorders>
              <w:top w:val="single" w:sz="12" w:space="0" w:color="auto"/>
            </w:tcBorders>
            <w:shd w:val="clear" w:color="auto" w:fill="auto"/>
            <w:vAlign w:val="bottom"/>
          </w:tcPr>
          <w:p w14:paraId="0A66B7CC" w14:textId="77777777" w:rsidR="003F2E7C" w:rsidRPr="009070C8" w:rsidRDefault="003F2E7C" w:rsidP="00206464">
            <w:pPr>
              <w:spacing w:before="40" w:after="40" w:line="210" w:lineRule="exact"/>
              <w:ind w:left="144" w:right="40"/>
              <w:jc w:val="right"/>
              <w:rPr>
                <w:sz w:val="17"/>
              </w:rPr>
            </w:pPr>
          </w:p>
        </w:tc>
      </w:tr>
      <w:tr w:rsidR="003F2E7C" w:rsidRPr="009070C8" w14:paraId="753A30E7" w14:textId="77777777" w:rsidTr="00206464">
        <w:tc>
          <w:tcPr>
            <w:tcW w:w="6390" w:type="dxa"/>
            <w:shd w:val="clear" w:color="auto" w:fill="auto"/>
            <w:vAlign w:val="bottom"/>
          </w:tcPr>
          <w:p w14:paraId="6D41DE87" w14:textId="77777777" w:rsidR="003F2E7C" w:rsidRPr="009070C8" w:rsidRDefault="003F2E7C" w:rsidP="00206464">
            <w:pPr>
              <w:tabs>
                <w:tab w:val="left" w:pos="288"/>
                <w:tab w:val="left" w:pos="576"/>
                <w:tab w:val="left" w:pos="864"/>
                <w:tab w:val="left" w:pos="1152"/>
              </w:tabs>
              <w:spacing w:before="40" w:after="40" w:line="210" w:lineRule="exact"/>
              <w:ind w:right="40"/>
              <w:rPr>
                <w:sz w:val="17"/>
              </w:rPr>
            </w:pPr>
            <w:r w:rsidRPr="009070C8">
              <w:rPr>
                <w:sz w:val="17"/>
              </w:rPr>
              <w:t>Timely submission of documentation</w:t>
            </w:r>
          </w:p>
        </w:tc>
        <w:tc>
          <w:tcPr>
            <w:tcW w:w="865" w:type="dxa"/>
            <w:shd w:val="clear" w:color="auto" w:fill="auto"/>
            <w:vAlign w:val="bottom"/>
          </w:tcPr>
          <w:p w14:paraId="1302C42D" w14:textId="77777777" w:rsidR="003F2E7C" w:rsidRPr="009070C8" w:rsidRDefault="003F2E7C" w:rsidP="00206464">
            <w:pPr>
              <w:tabs>
                <w:tab w:val="left" w:pos="288"/>
                <w:tab w:val="left" w:pos="576"/>
                <w:tab w:val="left" w:pos="864"/>
                <w:tab w:val="left" w:pos="1152"/>
              </w:tabs>
              <w:spacing w:before="40" w:after="40" w:line="210" w:lineRule="exact"/>
              <w:ind w:left="144" w:right="40"/>
              <w:jc w:val="right"/>
              <w:rPr>
                <w:sz w:val="17"/>
              </w:rPr>
            </w:pPr>
            <w:r w:rsidRPr="009070C8">
              <w:rPr>
                <w:sz w:val="17"/>
              </w:rPr>
              <w:t>65</w:t>
            </w:r>
          </w:p>
        </w:tc>
        <w:tc>
          <w:tcPr>
            <w:tcW w:w="865" w:type="dxa"/>
            <w:shd w:val="clear" w:color="auto" w:fill="auto"/>
            <w:vAlign w:val="bottom"/>
          </w:tcPr>
          <w:p w14:paraId="6C2CB1CF" w14:textId="77777777" w:rsidR="003F2E7C" w:rsidRPr="009070C8" w:rsidRDefault="003F2E7C" w:rsidP="00206464">
            <w:pPr>
              <w:tabs>
                <w:tab w:val="left" w:pos="288"/>
                <w:tab w:val="left" w:pos="576"/>
                <w:tab w:val="left" w:pos="864"/>
                <w:tab w:val="left" w:pos="1152"/>
              </w:tabs>
              <w:spacing w:before="40" w:after="40" w:line="210" w:lineRule="exact"/>
              <w:ind w:left="144" w:right="40"/>
              <w:jc w:val="right"/>
              <w:rPr>
                <w:sz w:val="17"/>
              </w:rPr>
            </w:pPr>
            <w:r w:rsidRPr="009070C8">
              <w:rPr>
                <w:sz w:val="17"/>
              </w:rPr>
              <w:t>97</w:t>
            </w:r>
          </w:p>
        </w:tc>
        <w:tc>
          <w:tcPr>
            <w:tcW w:w="865" w:type="dxa"/>
            <w:shd w:val="clear" w:color="auto" w:fill="auto"/>
            <w:vAlign w:val="bottom"/>
          </w:tcPr>
          <w:p w14:paraId="09AE4CA3" w14:textId="77777777" w:rsidR="003F2E7C" w:rsidRPr="009070C8" w:rsidRDefault="003F2E7C" w:rsidP="00206464">
            <w:pPr>
              <w:tabs>
                <w:tab w:val="left" w:pos="288"/>
                <w:tab w:val="left" w:pos="576"/>
                <w:tab w:val="left" w:pos="864"/>
                <w:tab w:val="left" w:pos="1152"/>
              </w:tabs>
              <w:spacing w:before="40" w:after="40" w:line="210" w:lineRule="exact"/>
              <w:ind w:left="144" w:right="40"/>
              <w:jc w:val="right"/>
              <w:rPr>
                <w:sz w:val="17"/>
              </w:rPr>
            </w:pPr>
            <w:r w:rsidRPr="009070C8">
              <w:rPr>
                <w:sz w:val="17"/>
              </w:rPr>
              <w:t>100</w:t>
            </w:r>
          </w:p>
        </w:tc>
        <w:tc>
          <w:tcPr>
            <w:tcW w:w="865" w:type="dxa"/>
            <w:shd w:val="clear" w:color="auto" w:fill="auto"/>
            <w:vAlign w:val="bottom"/>
          </w:tcPr>
          <w:p w14:paraId="7EBEB532" w14:textId="77777777" w:rsidR="003F2E7C" w:rsidRPr="009070C8" w:rsidRDefault="003F2E7C" w:rsidP="00206464">
            <w:pPr>
              <w:tabs>
                <w:tab w:val="left" w:pos="288"/>
                <w:tab w:val="left" w:pos="576"/>
                <w:tab w:val="left" w:pos="864"/>
                <w:tab w:val="left" w:pos="1152"/>
              </w:tabs>
              <w:spacing w:before="40" w:after="40" w:line="210" w:lineRule="exact"/>
              <w:ind w:left="144" w:right="40"/>
              <w:jc w:val="right"/>
              <w:rPr>
                <w:sz w:val="17"/>
              </w:rPr>
            </w:pPr>
            <w:r w:rsidRPr="009070C8">
              <w:rPr>
                <w:sz w:val="17"/>
              </w:rPr>
              <w:t>100</w:t>
            </w:r>
          </w:p>
        </w:tc>
      </w:tr>
      <w:tr w:rsidR="003F2E7C" w:rsidRPr="009070C8" w14:paraId="129E17CD" w14:textId="77777777" w:rsidTr="00206464">
        <w:tc>
          <w:tcPr>
            <w:tcW w:w="6390" w:type="dxa"/>
            <w:tcBorders>
              <w:bottom w:val="single" w:sz="12" w:space="0" w:color="auto"/>
            </w:tcBorders>
            <w:shd w:val="clear" w:color="auto" w:fill="auto"/>
            <w:vAlign w:val="bottom"/>
          </w:tcPr>
          <w:p w14:paraId="547303EE" w14:textId="77777777" w:rsidR="003F2E7C" w:rsidRPr="009070C8" w:rsidRDefault="003F2E7C" w:rsidP="00206464">
            <w:pPr>
              <w:tabs>
                <w:tab w:val="left" w:pos="288"/>
                <w:tab w:val="left" w:pos="576"/>
                <w:tab w:val="left" w:pos="864"/>
                <w:tab w:val="left" w:pos="1152"/>
              </w:tabs>
              <w:spacing w:before="40" w:after="40" w:line="210" w:lineRule="exact"/>
              <w:ind w:right="40"/>
              <w:rPr>
                <w:sz w:val="17"/>
              </w:rPr>
            </w:pPr>
            <w:r w:rsidRPr="009070C8">
              <w:rPr>
                <w:sz w:val="17"/>
              </w:rPr>
              <w:t>Air tickets purchased at least 2 weeks before the commencement of travel</w:t>
            </w:r>
          </w:p>
        </w:tc>
        <w:tc>
          <w:tcPr>
            <w:tcW w:w="865" w:type="dxa"/>
            <w:tcBorders>
              <w:bottom w:val="single" w:sz="12" w:space="0" w:color="auto"/>
            </w:tcBorders>
            <w:shd w:val="clear" w:color="auto" w:fill="auto"/>
            <w:vAlign w:val="bottom"/>
          </w:tcPr>
          <w:p w14:paraId="5B6A9E98" w14:textId="77777777" w:rsidR="003F2E7C" w:rsidRPr="009070C8" w:rsidRDefault="003F2E7C" w:rsidP="00206464">
            <w:pPr>
              <w:tabs>
                <w:tab w:val="left" w:pos="288"/>
                <w:tab w:val="left" w:pos="576"/>
                <w:tab w:val="left" w:pos="864"/>
                <w:tab w:val="left" w:pos="1152"/>
              </w:tabs>
              <w:spacing w:before="40" w:after="40" w:line="210" w:lineRule="exact"/>
              <w:ind w:left="144" w:right="40"/>
              <w:jc w:val="right"/>
              <w:rPr>
                <w:sz w:val="17"/>
              </w:rPr>
            </w:pPr>
            <w:r w:rsidRPr="009070C8">
              <w:rPr>
                <w:sz w:val="17"/>
              </w:rPr>
              <w:t>19</w:t>
            </w:r>
          </w:p>
        </w:tc>
        <w:tc>
          <w:tcPr>
            <w:tcW w:w="865" w:type="dxa"/>
            <w:tcBorders>
              <w:bottom w:val="single" w:sz="12" w:space="0" w:color="auto"/>
            </w:tcBorders>
            <w:shd w:val="clear" w:color="auto" w:fill="auto"/>
            <w:vAlign w:val="bottom"/>
          </w:tcPr>
          <w:p w14:paraId="245324F5" w14:textId="77777777" w:rsidR="003F2E7C" w:rsidRPr="009070C8" w:rsidRDefault="003F2E7C" w:rsidP="00206464">
            <w:pPr>
              <w:tabs>
                <w:tab w:val="left" w:pos="288"/>
                <w:tab w:val="left" w:pos="576"/>
                <w:tab w:val="left" w:pos="864"/>
                <w:tab w:val="left" w:pos="1152"/>
              </w:tabs>
              <w:spacing w:before="40" w:after="40" w:line="210" w:lineRule="exact"/>
              <w:ind w:left="144" w:right="40"/>
              <w:jc w:val="right"/>
              <w:rPr>
                <w:sz w:val="17"/>
              </w:rPr>
            </w:pPr>
            <w:r w:rsidRPr="009070C8">
              <w:rPr>
                <w:sz w:val="17"/>
              </w:rPr>
              <w:t>51</w:t>
            </w:r>
          </w:p>
        </w:tc>
        <w:tc>
          <w:tcPr>
            <w:tcW w:w="865" w:type="dxa"/>
            <w:tcBorders>
              <w:bottom w:val="single" w:sz="12" w:space="0" w:color="auto"/>
            </w:tcBorders>
            <w:shd w:val="clear" w:color="auto" w:fill="auto"/>
            <w:vAlign w:val="bottom"/>
          </w:tcPr>
          <w:p w14:paraId="24BD8886" w14:textId="77777777" w:rsidR="003F2E7C" w:rsidRPr="009070C8" w:rsidRDefault="003F2E7C" w:rsidP="00206464">
            <w:pPr>
              <w:tabs>
                <w:tab w:val="left" w:pos="288"/>
                <w:tab w:val="left" w:pos="576"/>
                <w:tab w:val="left" w:pos="864"/>
                <w:tab w:val="left" w:pos="1152"/>
              </w:tabs>
              <w:spacing w:before="40" w:after="40" w:line="210" w:lineRule="exact"/>
              <w:ind w:left="144" w:right="40"/>
              <w:jc w:val="right"/>
              <w:rPr>
                <w:sz w:val="17"/>
              </w:rPr>
            </w:pPr>
            <w:r w:rsidRPr="009070C8">
              <w:rPr>
                <w:sz w:val="17"/>
              </w:rPr>
              <w:t>100</w:t>
            </w:r>
          </w:p>
        </w:tc>
        <w:tc>
          <w:tcPr>
            <w:tcW w:w="865" w:type="dxa"/>
            <w:tcBorders>
              <w:bottom w:val="single" w:sz="12" w:space="0" w:color="auto"/>
            </w:tcBorders>
            <w:shd w:val="clear" w:color="auto" w:fill="auto"/>
            <w:vAlign w:val="bottom"/>
          </w:tcPr>
          <w:p w14:paraId="162B3507" w14:textId="77777777" w:rsidR="003F2E7C" w:rsidRPr="009070C8" w:rsidRDefault="003F2E7C" w:rsidP="00206464">
            <w:pPr>
              <w:tabs>
                <w:tab w:val="left" w:pos="288"/>
                <w:tab w:val="left" w:pos="576"/>
                <w:tab w:val="left" w:pos="864"/>
                <w:tab w:val="left" w:pos="1152"/>
              </w:tabs>
              <w:spacing w:before="40" w:after="40" w:line="210" w:lineRule="exact"/>
              <w:ind w:left="144" w:right="40"/>
              <w:jc w:val="right"/>
              <w:rPr>
                <w:sz w:val="17"/>
              </w:rPr>
            </w:pPr>
            <w:r w:rsidRPr="009070C8">
              <w:rPr>
                <w:sz w:val="17"/>
              </w:rPr>
              <w:t>100</w:t>
            </w:r>
          </w:p>
        </w:tc>
      </w:tr>
    </w:tbl>
    <w:p w14:paraId="5603C72C" w14:textId="77777777" w:rsidR="003F2E7C" w:rsidRPr="009070C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9FCC98F" w14:textId="77777777" w:rsidR="003F2E7C" w:rsidRPr="009070C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1CD6657" w14:textId="1D910120"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lastRenderedPageBreak/>
        <w:tab/>
      </w:r>
      <w:r w:rsidRPr="00E96905">
        <w:t>15.15</w:t>
      </w:r>
      <w:r>
        <w:t>2</w:t>
      </w:r>
      <w:r w:rsidRPr="00E96905">
        <w:tab/>
        <w:t>The proposed regular budget resources for 2022 amount to $1,515,700 and reflect a decrease of $125,100 compared with the appropriation for 2021. The proposed decrease is explained in paragraph 15.13</w:t>
      </w:r>
      <w:r w:rsidR="006A45EB">
        <w:t>4</w:t>
      </w:r>
      <w:r w:rsidRPr="00E96905">
        <w:t xml:space="preserve"> (a).</w:t>
      </w:r>
      <w:r>
        <w:t xml:space="preserve"> </w:t>
      </w:r>
      <w:r w:rsidRPr="00E96905">
        <w:t xml:space="preserve">Additional details on the distribution of the proposed resources for 2022 are reflected in table 15.20 and figure 15.XIV. </w:t>
      </w:r>
    </w:p>
    <w:p w14:paraId="5FDBE6F4" w14:textId="77777777" w:rsidR="003F2E7C" w:rsidRPr="009070C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2380632" w14:textId="77777777" w:rsidR="003F2E7C" w:rsidRPr="009070C8"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9070C8">
        <w:rPr>
          <w:b w:val="0"/>
          <w:bCs/>
        </w:rPr>
        <w:t>Table 15.20</w:t>
      </w:r>
    </w:p>
    <w:p w14:paraId="0A5260B1"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96905">
        <w:t>Executive direction and management: evolution of financial and post resources</w:t>
      </w:r>
    </w:p>
    <w:p w14:paraId="15542671" w14:textId="77777777" w:rsidR="003F2E7C" w:rsidRPr="009070C8" w:rsidRDefault="003F2E7C" w:rsidP="003F2E7C">
      <w:pPr>
        <w:rPr>
          <w:sz w:val="14"/>
          <w:szCs w:val="14"/>
        </w:rPr>
      </w:pPr>
      <w:r w:rsidRPr="009070C8">
        <w:rPr>
          <w:sz w:val="14"/>
          <w:szCs w:val="14"/>
        </w:rPr>
        <w:t>(Thousands of United States dollars/number of posts)</w:t>
      </w:r>
    </w:p>
    <w:p w14:paraId="5853831C" w14:textId="77777777" w:rsidR="003F2E7C"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6D99CA5" w14:textId="77777777" w:rsidR="003F2E7C" w:rsidRPr="009070C8"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4"/>
        <w:gridCol w:w="1080"/>
        <w:gridCol w:w="1080"/>
        <w:gridCol w:w="1026"/>
        <w:gridCol w:w="891"/>
        <w:gridCol w:w="726"/>
        <w:gridCol w:w="723"/>
        <w:gridCol w:w="900"/>
        <w:gridCol w:w="936"/>
      </w:tblGrid>
      <w:tr w:rsidR="003F2E7C" w:rsidRPr="00C65055" w14:paraId="72319668" w14:textId="77777777" w:rsidTr="00EF5A7F">
        <w:trPr>
          <w:tblHeader/>
        </w:trPr>
        <w:tc>
          <w:tcPr>
            <w:tcW w:w="2484" w:type="dxa"/>
            <w:tcBorders>
              <w:top w:val="single" w:sz="4" w:space="0" w:color="auto"/>
            </w:tcBorders>
            <w:shd w:val="clear" w:color="auto" w:fill="auto"/>
            <w:vAlign w:val="bottom"/>
          </w:tcPr>
          <w:p w14:paraId="355B26C1" w14:textId="77777777" w:rsidR="003F2E7C" w:rsidRPr="00C65055" w:rsidRDefault="003F2E7C" w:rsidP="00206464">
            <w:pPr>
              <w:spacing w:before="81" w:after="81" w:line="160" w:lineRule="exact"/>
              <w:ind w:right="40"/>
              <w:rPr>
                <w:i/>
                <w:sz w:val="14"/>
              </w:rPr>
            </w:pPr>
          </w:p>
        </w:tc>
        <w:tc>
          <w:tcPr>
            <w:tcW w:w="1080" w:type="dxa"/>
            <w:tcBorders>
              <w:top w:val="single" w:sz="4" w:space="0" w:color="auto"/>
            </w:tcBorders>
            <w:shd w:val="clear" w:color="auto" w:fill="auto"/>
            <w:vAlign w:val="bottom"/>
          </w:tcPr>
          <w:p w14:paraId="04EA9887" w14:textId="77777777" w:rsidR="003F2E7C" w:rsidRPr="00C65055" w:rsidRDefault="003F2E7C" w:rsidP="00206464">
            <w:pPr>
              <w:spacing w:before="81" w:after="81" w:line="160" w:lineRule="exact"/>
              <w:ind w:left="144" w:right="40"/>
              <w:jc w:val="right"/>
              <w:rPr>
                <w:i/>
                <w:sz w:val="14"/>
              </w:rPr>
            </w:pPr>
          </w:p>
        </w:tc>
        <w:tc>
          <w:tcPr>
            <w:tcW w:w="1080" w:type="dxa"/>
            <w:tcBorders>
              <w:top w:val="single" w:sz="4" w:space="0" w:color="auto"/>
            </w:tcBorders>
            <w:shd w:val="clear" w:color="auto" w:fill="auto"/>
            <w:vAlign w:val="bottom"/>
          </w:tcPr>
          <w:p w14:paraId="36EA216D" w14:textId="77777777" w:rsidR="003F2E7C" w:rsidRPr="00C65055" w:rsidRDefault="003F2E7C" w:rsidP="00206464">
            <w:pPr>
              <w:spacing w:before="81" w:after="81" w:line="160" w:lineRule="exact"/>
              <w:ind w:left="144" w:right="40"/>
              <w:jc w:val="right"/>
              <w:rPr>
                <w:i/>
                <w:sz w:val="14"/>
              </w:rPr>
            </w:pPr>
          </w:p>
        </w:tc>
        <w:tc>
          <w:tcPr>
            <w:tcW w:w="4266" w:type="dxa"/>
            <w:gridSpan w:val="5"/>
            <w:tcBorders>
              <w:top w:val="single" w:sz="4" w:space="0" w:color="auto"/>
              <w:bottom w:val="single" w:sz="4" w:space="0" w:color="auto"/>
            </w:tcBorders>
            <w:shd w:val="clear" w:color="auto" w:fill="auto"/>
            <w:vAlign w:val="bottom"/>
          </w:tcPr>
          <w:p w14:paraId="4F1116C8" w14:textId="77777777" w:rsidR="003F2E7C" w:rsidRPr="00C65055" w:rsidRDefault="003F2E7C" w:rsidP="00206464">
            <w:pPr>
              <w:spacing w:before="81" w:after="81" w:line="160" w:lineRule="exact"/>
              <w:ind w:left="144" w:right="40"/>
              <w:jc w:val="center"/>
              <w:rPr>
                <w:i/>
                <w:sz w:val="14"/>
              </w:rPr>
            </w:pPr>
            <w:r w:rsidRPr="00C65055">
              <w:rPr>
                <w:i/>
                <w:sz w:val="14"/>
              </w:rPr>
              <w:t>Changes</w:t>
            </w:r>
          </w:p>
        </w:tc>
        <w:tc>
          <w:tcPr>
            <w:tcW w:w="936" w:type="dxa"/>
            <w:vMerge w:val="restart"/>
            <w:tcBorders>
              <w:top w:val="single" w:sz="4" w:space="0" w:color="auto"/>
            </w:tcBorders>
            <w:shd w:val="clear" w:color="auto" w:fill="auto"/>
            <w:vAlign w:val="bottom"/>
          </w:tcPr>
          <w:p w14:paraId="5DA3DBBC" w14:textId="77777777" w:rsidR="003F2E7C" w:rsidRPr="00C65055" w:rsidRDefault="003F2E7C" w:rsidP="00206464">
            <w:pPr>
              <w:spacing w:before="81" w:after="81" w:line="160" w:lineRule="exact"/>
              <w:ind w:left="144" w:right="40"/>
              <w:jc w:val="right"/>
              <w:rPr>
                <w:i/>
                <w:sz w:val="14"/>
              </w:rPr>
            </w:pPr>
            <w:r w:rsidRPr="00C65055">
              <w:rPr>
                <w:i/>
                <w:sz w:val="14"/>
              </w:rPr>
              <w:t>2022 estimate (before recosting)</w:t>
            </w:r>
          </w:p>
        </w:tc>
      </w:tr>
      <w:tr w:rsidR="00EF5A7F" w:rsidRPr="00C65055" w14:paraId="532CEAC2" w14:textId="77777777" w:rsidTr="00EF5A7F">
        <w:trPr>
          <w:tblHeader/>
        </w:trPr>
        <w:tc>
          <w:tcPr>
            <w:tcW w:w="2484" w:type="dxa"/>
            <w:tcBorders>
              <w:bottom w:val="single" w:sz="12" w:space="0" w:color="auto"/>
            </w:tcBorders>
            <w:shd w:val="clear" w:color="auto" w:fill="auto"/>
            <w:vAlign w:val="bottom"/>
          </w:tcPr>
          <w:p w14:paraId="73640F2F" w14:textId="77777777" w:rsidR="003F2E7C" w:rsidRPr="00C65055" w:rsidRDefault="003F2E7C" w:rsidP="00206464">
            <w:pPr>
              <w:spacing w:before="81" w:after="81" w:line="160" w:lineRule="exact"/>
              <w:ind w:right="40"/>
              <w:rPr>
                <w:i/>
                <w:sz w:val="14"/>
              </w:rPr>
            </w:pPr>
          </w:p>
        </w:tc>
        <w:tc>
          <w:tcPr>
            <w:tcW w:w="1080" w:type="dxa"/>
            <w:tcBorders>
              <w:bottom w:val="single" w:sz="12" w:space="0" w:color="auto"/>
            </w:tcBorders>
            <w:shd w:val="clear" w:color="auto" w:fill="auto"/>
            <w:vAlign w:val="bottom"/>
          </w:tcPr>
          <w:p w14:paraId="60A78492" w14:textId="77777777" w:rsidR="003F2E7C" w:rsidRPr="00C65055" w:rsidRDefault="003F2E7C" w:rsidP="00206464">
            <w:pPr>
              <w:spacing w:before="81" w:after="81" w:line="160" w:lineRule="exact"/>
              <w:ind w:left="144" w:right="40"/>
              <w:jc w:val="right"/>
              <w:rPr>
                <w:i/>
                <w:sz w:val="14"/>
              </w:rPr>
            </w:pPr>
            <w:r w:rsidRPr="00C65055">
              <w:rPr>
                <w:i/>
                <w:sz w:val="14"/>
              </w:rPr>
              <w:t>2020 expenditure</w:t>
            </w:r>
          </w:p>
        </w:tc>
        <w:tc>
          <w:tcPr>
            <w:tcW w:w="1080" w:type="dxa"/>
            <w:tcBorders>
              <w:bottom w:val="single" w:sz="12" w:space="0" w:color="auto"/>
            </w:tcBorders>
            <w:shd w:val="clear" w:color="auto" w:fill="auto"/>
            <w:vAlign w:val="bottom"/>
          </w:tcPr>
          <w:p w14:paraId="1595B0AE" w14:textId="77777777" w:rsidR="003F2E7C" w:rsidRPr="00C65055" w:rsidRDefault="003F2E7C" w:rsidP="00206464">
            <w:pPr>
              <w:spacing w:before="81" w:after="81" w:line="160" w:lineRule="exact"/>
              <w:ind w:left="144" w:right="40"/>
              <w:jc w:val="right"/>
              <w:rPr>
                <w:i/>
                <w:sz w:val="14"/>
              </w:rPr>
            </w:pPr>
            <w:r w:rsidRPr="00C65055">
              <w:rPr>
                <w:i/>
                <w:sz w:val="14"/>
              </w:rPr>
              <w:t>2021 appropriation</w:t>
            </w:r>
          </w:p>
        </w:tc>
        <w:tc>
          <w:tcPr>
            <w:tcW w:w="1026" w:type="dxa"/>
            <w:tcBorders>
              <w:top w:val="single" w:sz="4" w:space="0" w:color="auto"/>
              <w:bottom w:val="single" w:sz="12" w:space="0" w:color="auto"/>
            </w:tcBorders>
            <w:shd w:val="clear" w:color="auto" w:fill="auto"/>
            <w:vAlign w:val="bottom"/>
          </w:tcPr>
          <w:p w14:paraId="2AA7BC4F" w14:textId="77777777" w:rsidR="003F2E7C" w:rsidRPr="00C65055" w:rsidRDefault="003F2E7C" w:rsidP="00206464">
            <w:pPr>
              <w:spacing w:before="81" w:after="81" w:line="160" w:lineRule="exact"/>
              <w:ind w:left="144" w:right="40"/>
              <w:jc w:val="right"/>
              <w:rPr>
                <w:i/>
                <w:sz w:val="14"/>
              </w:rPr>
            </w:pPr>
            <w:r w:rsidRPr="00C65055">
              <w:rPr>
                <w:i/>
                <w:sz w:val="14"/>
              </w:rPr>
              <w:t>Technical adjustments</w:t>
            </w:r>
          </w:p>
        </w:tc>
        <w:tc>
          <w:tcPr>
            <w:tcW w:w="891" w:type="dxa"/>
            <w:tcBorders>
              <w:top w:val="single" w:sz="4" w:space="0" w:color="auto"/>
              <w:bottom w:val="single" w:sz="12" w:space="0" w:color="auto"/>
            </w:tcBorders>
            <w:shd w:val="clear" w:color="auto" w:fill="auto"/>
            <w:vAlign w:val="bottom"/>
          </w:tcPr>
          <w:p w14:paraId="7FEFE5E8" w14:textId="77777777" w:rsidR="003F2E7C" w:rsidRPr="00C65055" w:rsidRDefault="003F2E7C" w:rsidP="00206464">
            <w:pPr>
              <w:spacing w:before="81" w:after="81" w:line="160" w:lineRule="exact"/>
              <w:ind w:left="144" w:right="40"/>
              <w:jc w:val="right"/>
              <w:rPr>
                <w:i/>
                <w:sz w:val="14"/>
              </w:rPr>
            </w:pPr>
            <w:r w:rsidRPr="00C65055">
              <w:rPr>
                <w:i/>
                <w:sz w:val="14"/>
              </w:rPr>
              <w:t>New/ expanded mandates</w:t>
            </w:r>
          </w:p>
        </w:tc>
        <w:tc>
          <w:tcPr>
            <w:tcW w:w="726" w:type="dxa"/>
            <w:tcBorders>
              <w:top w:val="single" w:sz="4" w:space="0" w:color="auto"/>
              <w:bottom w:val="single" w:sz="12" w:space="0" w:color="auto"/>
            </w:tcBorders>
            <w:shd w:val="clear" w:color="auto" w:fill="auto"/>
            <w:vAlign w:val="bottom"/>
          </w:tcPr>
          <w:p w14:paraId="3153F2DD" w14:textId="77777777" w:rsidR="003F2E7C" w:rsidRPr="00C65055" w:rsidRDefault="003F2E7C" w:rsidP="00206464">
            <w:pPr>
              <w:spacing w:before="81" w:after="81" w:line="160" w:lineRule="exact"/>
              <w:ind w:left="144" w:right="40"/>
              <w:jc w:val="right"/>
              <w:rPr>
                <w:i/>
                <w:sz w:val="14"/>
              </w:rPr>
            </w:pPr>
            <w:r w:rsidRPr="00C65055">
              <w:rPr>
                <w:i/>
                <w:sz w:val="14"/>
              </w:rPr>
              <w:t xml:space="preserve">Other </w:t>
            </w:r>
          </w:p>
        </w:tc>
        <w:tc>
          <w:tcPr>
            <w:tcW w:w="723" w:type="dxa"/>
            <w:tcBorders>
              <w:top w:val="single" w:sz="4" w:space="0" w:color="auto"/>
              <w:bottom w:val="single" w:sz="12" w:space="0" w:color="auto"/>
            </w:tcBorders>
            <w:shd w:val="clear" w:color="auto" w:fill="auto"/>
            <w:vAlign w:val="bottom"/>
          </w:tcPr>
          <w:p w14:paraId="7C98CC3E" w14:textId="77777777" w:rsidR="003F2E7C" w:rsidRPr="00C65055" w:rsidRDefault="003F2E7C" w:rsidP="00206464">
            <w:pPr>
              <w:spacing w:before="81" w:after="81" w:line="160" w:lineRule="exact"/>
              <w:ind w:left="144" w:right="40"/>
              <w:jc w:val="right"/>
              <w:rPr>
                <w:i/>
                <w:sz w:val="14"/>
              </w:rPr>
            </w:pPr>
            <w:r w:rsidRPr="00C65055">
              <w:rPr>
                <w:i/>
                <w:sz w:val="14"/>
              </w:rPr>
              <w:t xml:space="preserve">Total </w:t>
            </w:r>
          </w:p>
        </w:tc>
        <w:tc>
          <w:tcPr>
            <w:tcW w:w="900" w:type="dxa"/>
            <w:tcBorders>
              <w:top w:val="single" w:sz="4" w:space="0" w:color="auto"/>
              <w:bottom w:val="single" w:sz="12" w:space="0" w:color="auto"/>
            </w:tcBorders>
            <w:shd w:val="clear" w:color="auto" w:fill="auto"/>
            <w:vAlign w:val="bottom"/>
          </w:tcPr>
          <w:p w14:paraId="0CE05D10" w14:textId="77777777" w:rsidR="003F2E7C" w:rsidRPr="00C65055" w:rsidRDefault="003F2E7C" w:rsidP="00206464">
            <w:pPr>
              <w:spacing w:before="81" w:after="81" w:line="160" w:lineRule="exact"/>
              <w:ind w:left="144" w:right="40"/>
              <w:jc w:val="right"/>
              <w:rPr>
                <w:i/>
                <w:sz w:val="14"/>
              </w:rPr>
            </w:pPr>
            <w:r w:rsidRPr="00C65055">
              <w:rPr>
                <w:i/>
                <w:sz w:val="14"/>
              </w:rPr>
              <w:t>Percentage</w:t>
            </w:r>
          </w:p>
        </w:tc>
        <w:tc>
          <w:tcPr>
            <w:tcW w:w="936" w:type="dxa"/>
            <w:vMerge/>
            <w:tcBorders>
              <w:bottom w:val="single" w:sz="12" w:space="0" w:color="auto"/>
            </w:tcBorders>
            <w:shd w:val="clear" w:color="auto" w:fill="auto"/>
            <w:vAlign w:val="bottom"/>
          </w:tcPr>
          <w:p w14:paraId="165EF014" w14:textId="77777777" w:rsidR="003F2E7C" w:rsidRPr="00C65055" w:rsidRDefault="003F2E7C" w:rsidP="00206464">
            <w:pPr>
              <w:spacing w:before="81" w:after="81" w:line="160" w:lineRule="exact"/>
              <w:ind w:left="144" w:right="40"/>
              <w:jc w:val="right"/>
              <w:rPr>
                <w:i/>
                <w:sz w:val="14"/>
              </w:rPr>
            </w:pPr>
          </w:p>
        </w:tc>
      </w:tr>
      <w:tr w:rsidR="00EF5A7F" w:rsidRPr="00C65055" w14:paraId="6A8CD86C" w14:textId="77777777" w:rsidTr="00EF5A7F">
        <w:trPr>
          <w:trHeight w:hRule="exact" w:val="115"/>
          <w:tblHeader/>
        </w:trPr>
        <w:tc>
          <w:tcPr>
            <w:tcW w:w="2484" w:type="dxa"/>
            <w:tcBorders>
              <w:top w:val="single" w:sz="12" w:space="0" w:color="auto"/>
            </w:tcBorders>
            <w:shd w:val="clear" w:color="auto" w:fill="auto"/>
            <w:vAlign w:val="bottom"/>
          </w:tcPr>
          <w:p w14:paraId="7D36F6DB" w14:textId="77777777" w:rsidR="003F2E7C" w:rsidRPr="00C65055" w:rsidRDefault="003F2E7C" w:rsidP="00206464">
            <w:pPr>
              <w:spacing w:before="40" w:after="40" w:line="210" w:lineRule="exact"/>
              <w:ind w:right="40"/>
              <w:rPr>
                <w:sz w:val="17"/>
              </w:rPr>
            </w:pPr>
          </w:p>
        </w:tc>
        <w:tc>
          <w:tcPr>
            <w:tcW w:w="1080" w:type="dxa"/>
            <w:tcBorders>
              <w:top w:val="single" w:sz="12" w:space="0" w:color="auto"/>
            </w:tcBorders>
            <w:shd w:val="clear" w:color="auto" w:fill="auto"/>
            <w:vAlign w:val="bottom"/>
          </w:tcPr>
          <w:p w14:paraId="40A91C5B" w14:textId="77777777" w:rsidR="003F2E7C" w:rsidRPr="00C65055" w:rsidRDefault="003F2E7C" w:rsidP="00206464">
            <w:pPr>
              <w:spacing w:before="40" w:after="40" w:line="210" w:lineRule="exact"/>
              <w:ind w:left="144" w:right="40"/>
              <w:jc w:val="right"/>
              <w:rPr>
                <w:sz w:val="17"/>
              </w:rPr>
            </w:pPr>
          </w:p>
        </w:tc>
        <w:tc>
          <w:tcPr>
            <w:tcW w:w="1080" w:type="dxa"/>
            <w:tcBorders>
              <w:top w:val="single" w:sz="12" w:space="0" w:color="auto"/>
            </w:tcBorders>
            <w:shd w:val="clear" w:color="auto" w:fill="auto"/>
            <w:vAlign w:val="bottom"/>
          </w:tcPr>
          <w:p w14:paraId="32B19F02" w14:textId="77777777" w:rsidR="003F2E7C" w:rsidRPr="00C65055" w:rsidRDefault="003F2E7C" w:rsidP="00206464">
            <w:pPr>
              <w:spacing w:before="40" w:after="40" w:line="210" w:lineRule="exact"/>
              <w:ind w:left="144" w:right="40"/>
              <w:jc w:val="right"/>
              <w:rPr>
                <w:sz w:val="17"/>
              </w:rPr>
            </w:pPr>
          </w:p>
        </w:tc>
        <w:tc>
          <w:tcPr>
            <w:tcW w:w="1026" w:type="dxa"/>
            <w:tcBorders>
              <w:top w:val="single" w:sz="12" w:space="0" w:color="auto"/>
            </w:tcBorders>
            <w:shd w:val="clear" w:color="auto" w:fill="auto"/>
            <w:vAlign w:val="bottom"/>
          </w:tcPr>
          <w:p w14:paraId="632DE24C" w14:textId="77777777" w:rsidR="003F2E7C" w:rsidRPr="00C65055" w:rsidRDefault="003F2E7C" w:rsidP="00206464">
            <w:pPr>
              <w:spacing w:before="40" w:after="40" w:line="210" w:lineRule="exact"/>
              <w:ind w:left="144" w:right="40"/>
              <w:jc w:val="right"/>
              <w:rPr>
                <w:sz w:val="17"/>
              </w:rPr>
            </w:pPr>
          </w:p>
        </w:tc>
        <w:tc>
          <w:tcPr>
            <w:tcW w:w="891" w:type="dxa"/>
            <w:tcBorders>
              <w:top w:val="single" w:sz="12" w:space="0" w:color="auto"/>
            </w:tcBorders>
            <w:shd w:val="clear" w:color="auto" w:fill="auto"/>
            <w:vAlign w:val="bottom"/>
          </w:tcPr>
          <w:p w14:paraId="724F5DE4" w14:textId="77777777" w:rsidR="003F2E7C" w:rsidRPr="00C65055" w:rsidRDefault="003F2E7C" w:rsidP="00206464">
            <w:pPr>
              <w:spacing w:before="40" w:after="40" w:line="210" w:lineRule="exact"/>
              <w:ind w:left="144" w:right="40"/>
              <w:jc w:val="right"/>
              <w:rPr>
                <w:sz w:val="17"/>
              </w:rPr>
            </w:pPr>
          </w:p>
        </w:tc>
        <w:tc>
          <w:tcPr>
            <w:tcW w:w="726" w:type="dxa"/>
            <w:tcBorders>
              <w:top w:val="single" w:sz="12" w:space="0" w:color="auto"/>
            </w:tcBorders>
            <w:shd w:val="clear" w:color="auto" w:fill="auto"/>
            <w:vAlign w:val="bottom"/>
          </w:tcPr>
          <w:p w14:paraId="69D1DD53" w14:textId="77777777" w:rsidR="003F2E7C" w:rsidRPr="00C65055" w:rsidRDefault="003F2E7C" w:rsidP="00206464">
            <w:pPr>
              <w:spacing w:before="40" w:after="40" w:line="210" w:lineRule="exact"/>
              <w:ind w:left="144" w:right="40"/>
              <w:jc w:val="right"/>
              <w:rPr>
                <w:sz w:val="17"/>
              </w:rPr>
            </w:pPr>
          </w:p>
        </w:tc>
        <w:tc>
          <w:tcPr>
            <w:tcW w:w="723" w:type="dxa"/>
            <w:tcBorders>
              <w:top w:val="single" w:sz="12" w:space="0" w:color="auto"/>
            </w:tcBorders>
            <w:shd w:val="clear" w:color="auto" w:fill="auto"/>
            <w:vAlign w:val="bottom"/>
          </w:tcPr>
          <w:p w14:paraId="3324AFC4" w14:textId="77777777" w:rsidR="003F2E7C" w:rsidRPr="00C65055" w:rsidRDefault="003F2E7C" w:rsidP="00206464">
            <w:pPr>
              <w:spacing w:before="40" w:after="40" w:line="210" w:lineRule="exact"/>
              <w:ind w:left="144" w:right="40"/>
              <w:jc w:val="right"/>
              <w:rPr>
                <w:sz w:val="17"/>
              </w:rPr>
            </w:pPr>
          </w:p>
        </w:tc>
        <w:tc>
          <w:tcPr>
            <w:tcW w:w="900" w:type="dxa"/>
            <w:tcBorders>
              <w:top w:val="single" w:sz="12" w:space="0" w:color="auto"/>
            </w:tcBorders>
            <w:shd w:val="clear" w:color="auto" w:fill="auto"/>
            <w:vAlign w:val="bottom"/>
          </w:tcPr>
          <w:p w14:paraId="2177BA49" w14:textId="77777777" w:rsidR="003F2E7C" w:rsidRPr="00C65055" w:rsidRDefault="003F2E7C" w:rsidP="00206464">
            <w:pPr>
              <w:spacing w:before="40" w:after="40" w:line="210" w:lineRule="exact"/>
              <w:ind w:left="144" w:right="40"/>
              <w:jc w:val="right"/>
              <w:rPr>
                <w:sz w:val="17"/>
              </w:rPr>
            </w:pPr>
          </w:p>
        </w:tc>
        <w:tc>
          <w:tcPr>
            <w:tcW w:w="936" w:type="dxa"/>
            <w:tcBorders>
              <w:top w:val="single" w:sz="12" w:space="0" w:color="auto"/>
            </w:tcBorders>
            <w:shd w:val="clear" w:color="auto" w:fill="auto"/>
            <w:vAlign w:val="bottom"/>
          </w:tcPr>
          <w:p w14:paraId="09325252" w14:textId="77777777" w:rsidR="003F2E7C" w:rsidRPr="00C65055" w:rsidRDefault="003F2E7C" w:rsidP="00206464">
            <w:pPr>
              <w:spacing w:before="40" w:after="40" w:line="210" w:lineRule="exact"/>
              <w:ind w:left="144" w:right="40"/>
              <w:jc w:val="right"/>
              <w:rPr>
                <w:sz w:val="17"/>
              </w:rPr>
            </w:pPr>
          </w:p>
        </w:tc>
      </w:tr>
      <w:tr w:rsidR="003F2E7C" w:rsidRPr="00C65055" w14:paraId="34003160" w14:textId="77777777" w:rsidTr="00EF5A7F">
        <w:tc>
          <w:tcPr>
            <w:tcW w:w="5670" w:type="dxa"/>
            <w:gridSpan w:val="4"/>
            <w:shd w:val="clear" w:color="auto" w:fill="auto"/>
            <w:vAlign w:val="bottom"/>
          </w:tcPr>
          <w:p w14:paraId="38578FC3" w14:textId="77777777" w:rsidR="003F2E7C" w:rsidRPr="00C65055" w:rsidRDefault="003F2E7C" w:rsidP="00206464">
            <w:pPr>
              <w:tabs>
                <w:tab w:val="left" w:pos="288"/>
                <w:tab w:val="left" w:pos="576"/>
                <w:tab w:val="left" w:pos="864"/>
                <w:tab w:val="left" w:pos="1152"/>
              </w:tabs>
              <w:spacing w:before="40" w:after="40" w:line="210" w:lineRule="exact"/>
              <w:ind w:right="43"/>
              <w:rPr>
                <w:sz w:val="17"/>
              </w:rPr>
            </w:pPr>
            <w:r w:rsidRPr="00C65055">
              <w:rPr>
                <w:b/>
                <w:bCs/>
                <w:sz w:val="17"/>
              </w:rPr>
              <w:t xml:space="preserve">Financial resources by main category of expenditure </w:t>
            </w:r>
          </w:p>
        </w:tc>
        <w:tc>
          <w:tcPr>
            <w:tcW w:w="891" w:type="dxa"/>
            <w:shd w:val="clear" w:color="auto" w:fill="auto"/>
            <w:vAlign w:val="bottom"/>
          </w:tcPr>
          <w:p w14:paraId="1232EE3B"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726" w:type="dxa"/>
            <w:shd w:val="clear" w:color="auto" w:fill="auto"/>
            <w:vAlign w:val="bottom"/>
          </w:tcPr>
          <w:p w14:paraId="46E9FE5D"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723" w:type="dxa"/>
            <w:shd w:val="clear" w:color="auto" w:fill="auto"/>
            <w:vAlign w:val="bottom"/>
          </w:tcPr>
          <w:p w14:paraId="19D000B7"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900" w:type="dxa"/>
            <w:shd w:val="clear" w:color="auto" w:fill="auto"/>
            <w:vAlign w:val="bottom"/>
          </w:tcPr>
          <w:p w14:paraId="5BB83888"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936" w:type="dxa"/>
            <w:shd w:val="clear" w:color="auto" w:fill="auto"/>
            <w:vAlign w:val="bottom"/>
          </w:tcPr>
          <w:p w14:paraId="455DA142"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p>
        </w:tc>
      </w:tr>
      <w:tr w:rsidR="00EF5A7F" w:rsidRPr="00C65055" w14:paraId="4CEED291" w14:textId="77777777" w:rsidTr="00EF5A7F">
        <w:tc>
          <w:tcPr>
            <w:tcW w:w="2484" w:type="dxa"/>
            <w:shd w:val="clear" w:color="auto" w:fill="auto"/>
            <w:vAlign w:val="bottom"/>
          </w:tcPr>
          <w:p w14:paraId="067305E6" w14:textId="77777777" w:rsidR="003F2E7C" w:rsidRPr="00C65055" w:rsidRDefault="003F2E7C" w:rsidP="00206464">
            <w:pPr>
              <w:tabs>
                <w:tab w:val="left" w:pos="288"/>
                <w:tab w:val="left" w:pos="576"/>
                <w:tab w:val="left" w:pos="864"/>
                <w:tab w:val="left" w:pos="1152"/>
              </w:tabs>
              <w:spacing w:before="40" w:after="40" w:line="210" w:lineRule="exact"/>
              <w:ind w:right="40"/>
              <w:rPr>
                <w:sz w:val="17"/>
              </w:rPr>
            </w:pPr>
            <w:r w:rsidRPr="00C65055">
              <w:rPr>
                <w:sz w:val="17"/>
              </w:rPr>
              <w:t>Post</w:t>
            </w:r>
          </w:p>
        </w:tc>
        <w:tc>
          <w:tcPr>
            <w:tcW w:w="1080" w:type="dxa"/>
            <w:shd w:val="clear" w:color="auto" w:fill="auto"/>
            <w:vAlign w:val="bottom"/>
          </w:tcPr>
          <w:p w14:paraId="05B5E9C0"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sidRPr="00C65055">
              <w:rPr>
                <w:sz w:val="17"/>
              </w:rPr>
              <w:t xml:space="preserve"> 1 246.0 </w:t>
            </w:r>
          </w:p>
        </w:tc>
        <w:tc>
          <w:tcPr>
            <w:tcW w:w="1080" w:type="dxa"/>
            <w:shd w:val="clear" w:color="auto" w:fill="auto"/>
            <w:vAlign w:val="bottom"/>
          </w:tcPr>
          <w:p w14:paraId="2ED53023"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sidRPr="00C65055">
              <w:rPr>
                <w:sz w:val="17"/>
              </w:rPr>
              <w:t xml:space="preserve"> 1 329.7 </w:t>
            </w:r>
          </w:p>
        </w:tc>
        <w:tc>
          <w:tcPr>
            <w:tcW w:w="1026" w:type="dxa"/>
            <w:shd w:val="clear" w:color="auto" w:fill="auto"/>
            <w:vAlign w:val="bottom"/>
          </w:tcPr>
          <w:p w14:paraId="43A469D5"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 </w:t>
            </w:r>
          </w:p>
        </w:tc>
        <w:tc>
          <w:tcPr>
            <w:tcW w:w="891" w:type="dxa"/>
            <w:shd w:val="clear" w:color="auto" w:fill="auto"/>
            <w:vAlign w:val="bottom"/>
          </w:tcPr>
          <w:p w14:paraId="157CF649"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 </w:t>
            </w:r>
          </w:p>
        </w:tc>
        <w:tc>
          <w:tcPr>
            <w:tcW w:w="726" w:type="dxa"/>
            <w:shd w:val="clear" w:color="auto" w:fill="auto"/>
            <w:vAlign w:val="bottom"/>
          </w:tcPr>
          <w:p w14:paraId="76010331"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 </w:t>
            </w:r>
          </w:p>
        </w:tc>
        <w:tc>
          <w:tcPr>
            <w:tcW w:w="723" w:type="dxa"/>
            <w:shd w:val="clear" w:color="auto" w:fill="auto"/>
            <w:vAlign w:val="bottom"/>
          </w:tcPr>
          <w:p w14:paraId="1FE4633E"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 </w:t>
            </w:r>
          </w:p>
        </w:tc>
        <w:tc>
          <w:tcPr>
            <w:tcW w:w="900" w:type="dxa"/>
            <w:shd w:val="clear" w:color="auto" w:fill="auto"/>
            <w:vAlign w:val="bottom"/>
          </w:tcPr>
          <w:p w14:paraId="17BFFF7E"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 </w:t>
            </w:r>
          </w:p>
        </w:tc>
        <w:tc>
          <w:tcPr>
            <w:tcW w:w="936" w:type="dxa"/>
            <w:shd w:val="clear" w:color="auto" w:fill="auto"/>
            <w:vAlign w:val="bottom"/>
          </w:tcPr>
          <w:p w14:paraId="3BB94091"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sidRPr="00C65055">
              <w:rPr>
                <w:sz w:val="17"/>
              </w:rPr>
              <w:t xml:space="preserve"> 1</w:t>
            </w:r>
            <w:r>
              <w:rPr>
                <w:sz w:val="17"/>
              </w:rPr>
              <w:t xml:space="preserve"> </w:t>
            </w:r>
            <w:r w:rsidRPr="00C65055">
              <w:rPr>
                <w:sz w:val="17"/>
              </w:rPr>
              <w:t xml:space="preserve">329.7 </w:t>
            </w:r>
          </w:p>
        </w:tc>
      </w:tr>
      <w:tr w:rsidR="00EF5A7F" w:rsidRPr="001B44EC" w14:paraId="005C9184" w14:textId="77777777" w:rsidTr="00EF5A7F">
        <w:trPr>
          <w:trHeight w:val="153"/>
        </w:trPr>
        <w:tc>
          <w:tcPr>
            <w:tcW w:w="2484" w:type="dxa"/>
            <w:tcBorders>
              <w:bottom w:val="single" w:sz="4" w:space="0" w:color="auto"/>
            </w:tcBorders>
            <w:shd w:val="clear" w:color="auto" w:fill="auto"/>
            <w:vAlign w:val="bottom"/>
          </w:tcPr>
          <w:p w14:paraId="0110E0FE" w14:textId="77777777" w:rsidR="003F2E7C" w:rsidRPr="00C65055" w:rsidRDefault="003F2E7C" w:rsidP="00206464">
            <w:pPr>
              <w:tabs>
                <w:tab w:val="left" w:pos="288"/>
                <w:tab w:val="left" w:pos="576"/>
                <w:tab w:val="left" w:pos="864"/>
                <w:tab w:val="left" w:pos="1152"/>
              </w:tabs>
              <w:spacing w:before="40" w:after="81" w:line="210" w:lineRule="exact"/>
              <w:ind w:right="40"/>
              <w:rPr>
                <w:sz w:val="17"/>
              </w:rPr>
            </w:pPr>
            <w:r w:rsidRPr="00C65055">
              <w:rPr>
                <w:sz w:val="17"/>
              </w:rPr>
              <w:t>Non-post</w:t>
            </w:r>
          </w:p>
        </w:tc>
        <w:tc>
          <w:tcPr>
            <w:tcW w:w="1080" w:type="dxa"/>
            <w:tcBorders>
              <w:bottom w:val="single" w:sz="4" w:space="0" w:color="auto"/>
            </w:tcBorders>
            <w:shd w:val="clear" w:color="auto" w:fill="auto"/>
            <w:vAlign w:val="bottom"/>
          </w:tcPr>
          <w:p w14:paraId="7F941B5B" w14:textId="77777777" w:rsidR="003F2E7C" w:rsidRPr="00C65055" w:rsidRDefault="003F2E7C" w:rsidP="00206464">
            <w:pPr>
              <w:tabs>
                <w:tab w:val="left" w:pos="288"/>
                <w:tab w:val="left" w:pos="576"/>
                <w:tab w:val="left" w:pos="864"/>
                <w:tab w:val="left" w:pos="1152"/>
              </w:tabs>
              <w:spacing w:before="40" w:after="81" w:line="210" w:lineRule="exact"/>
              <w:ind w:left="144" w:right="40"/>
              <w:jc w:val="right"/>
              <w:rPr>
                <w:sz w:val="17"/>
              </w:rPr>
            </w:pPr>
            <w:r w:rsidRPr="00C65055">
              <w:rPr>
                <w:sz w:val="17"/>
              </w:rPr>
              <w:t xml:space="preserve"> 291.3</w:t>
            </w:r>
          </w:p>
        </w:tc>
        <w:tc>
          <w:tcPr>
            <w:tcW w:w="1080" w:type="dxa"/>
            <w:tcBorders>
              <w:bottom w:val="single" w:sz="4" w:space="0" w:color="auto"/>
            </w:tcBorders>
            <w:shd w:val="clear" w:color="auto" w:fill="auto"/>
            <w:vAlign w:val="bottom"/>
          </w:tcPr>
          <w:p w14:paraId="6FEA5CE8" w14:textId="77777777" w:rsidR="003F2E7C" w:rsidRPr="00C65055" w:rsidRDefault="003F2E7C" w:rsidP="00206464">
            <w:pPr>
              <w:tabs>
                <w:tab w:val="left" w:pos="288"/>
                <w:tab w:val="left" w:pos="576"/>
                <w:tab w:val="left" w:pos="864"/>
                <w:tab w:val="left" w:pos="1152"/>
              </w:tabs>
              <w:spacing w:before="40" w:after="81" w:line="210" w:lineRule="exact"/>
              <w:ind w:left="144" w:right="40"/>
              <w:jc w:val="right"/>
              <w:rPr>
                <w:sz w:val="17"/>
              </w:rPr>
            </w:pPr>
            <w:r w:rsidRPr="00C65055">
              <w:rPr>
                <w:sz w:val="17"/>
              </w:rPr>
              <w:t xml:space="preserve"> 311.1 </w:t>
            </w:r>
          </w:p>
        </w:tc>
        <w:tc>
          <w:tcPr>
            <w:tcW w:w="1026" w:type="dxa"/>
            <w:tcBorders>
              <w:bottom w:val="single" w:sz="4" w:space="0" w:color="auto"/>
            </w:tcBorders>
            <w:shd w:val="clear" w:color="auto" w:fill="auto"/>
            <w:vAlign w:val="bottom"/>
          </w:tcPr>
          <w:p w14:paraId="0CFB1669" w14:textId="77777777" w:rsidR="003F2E7C" w:rsidRPr="00C65055"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 </w:t>
            </w:r>
          </w:p>
        </w:tc>
        <w:tc>
          <w:tcPr>
            <w:tcW w:w="891" w:type="dxa"/>
            <w:tcBorders>
              <w:bottom w:val="single" w:sz="4" w:space="0" w:color="auto"/>
            </w:tcBorders>
            <w:shd w:val="clear" w:color="auto" w:fill="auto"/>
            <w:vAlign w:val="bottom"/>
          </w:tcPr>
          <w:p w14:paraId="179783CD" w14:textId="77777777" w:rsidR="003F2E7C" w:rsidRPr="00C65055" w:rsidRDefault="003F2E7C" w:rsidP="00206464">
            <w:pPr>
              <w:tabs>
                <w:tab w:val="left" w:pos="288"/>
                <w:tab w:val="left" w:pos="576"/>
                <w:tab w:val="left" w:pos="864"/>
                <w:tab w:val="left" w:pos="1152"/>
              </w:tabs>
              <w:spacing w:before="40" w:after="81" w:line="210" w:lineRule="exact"/>
              <w:ind w:left="144" w:right="40"/>
              <w:jc w:val="right"/>
              <w:rPr>
                <w:sz w:val="17"/>
              </w:rPr>
            </w:pPr>
            <w:r>
              <w:rPr>
                <w:sz w:val="17"/>
              </w:rPr>
              <w:t xml:space="preserve"> –</w:t>
            </w:r>
          </w:p>
        </w:tc>
        <w:tc>
          <w:tcPr>
            <w:tcW w:w="726" w:type="dxa"/>
            <w:tcBorders>
              <w:bottom w:val="single" w:sz="4" w:space="0" w:color="auto"/>
            </w:tcBorders>
            <w:shd w:val="clear" w:color="auto" w:fill="auto"/>
            <w:vAlign w:val="bottom"/>
          </w:tcPr>
          <w:p w14:paraId="2AA81828" w14:textId="77777777" w:rsidR="003F2E7C" w:rsidRPr="00C65055" w:rsidRDefault="003F2E7C" w:rsidP="00206464">
            <w:pPr>
              <w:tabs>
                <w:tab w:val="left" w:pos="288"/>
                <w:tab w:val="left" w:pos="576"/>
                <w:tab w:val="left" w:pos="864"/>
                <w:tab w:val="left" w:pos="1152"/>
              </w:tabs>
              <w:spacing w:before="40" w:after="81" w:line="210" w:lineRule="exact"/>
              <w:ind w:left="144" w:right="40"/>
              <w:jc w:val="right"/>
              <w:rPr>
                <w:sz w:val="17"/>
              </w:rPr>
            </w:pPr>
            <w:r w:rsidRPr="00C65055">
              <w:rPr>
                <w:sz w:val="17"/>
              </w:rPr>
              <w:t>(125.1)</w:t>
            </w:r>
            <w:r>
              <w:rPr>
                <w:sz w:val="17"/>
              </w:rPr>
              <w:t xml:space="preserve"> </w:t>
            </w:r>
          </w:p>
        </w:tc>
        <w:tc>
          <w:tcPr>
            <w:tcW w:w="723" w:type="dxa"/>
            <w:tcBorders>
              <w:bottom w:val="single" w:sz="4" w:space="0" w:color="auto"/>
            </w:tcBorders>
            <w:shd w:val="clear" w:color="auto" w:fill="auto"/>
            <w:vAlign w:val="bottom"/>
          </w:tcPr>
          <w:p w14:paraId="0DB3715A" w14:textId="0DA8EE63" w:rsidR="003F2E7C" w:rsidRPr="00C65055" w:rsidRDefault="003F2E7C" w:rsidP="00206464">
            <w:pPr>
              <w:tabs>
                <w:tab w:val="left" w:pos="288"/>
                <w:tab w:val="left" w:pos="576"/>
                <w:tab w:val="left" w:pos="864"/>
                <w:tab w:val="left" w:pos="1152"/>
              </w:tabs>
              <w:spacing w:before="40" w:after="81" w:line="210" w:lineRule="exact"/>
              <w:ind w:left="144" w:right="40"/>
              <w:jc w:val="right"/>
              <w:rPr>
                <w:sz w:val="17"/>
              </w:rPr>
            </w:pPr>
            <w:r w:rsidRPr="00C65055">
              <w:rPr>
                <w:sz w:val="17"/>
              </w:rPr>
              <w:t>(125.1)</w:t>
            </w:r>
          </w:p>
        </w:tc>
        <w:tc>
          <w:tcPr>
            <w:tcW w:w="900" w:type="dxa"/>
            <w:tcBorders>
              <w:bottom w:val="single" w:sz="4" w:space="0" w:color="auto"/>
            </w:tcBorders>
            <w:shd w:val="clear" w:color="auto" w:fill="auto"/>
            <w:vAlign w:val="bottom"/>
          </w:tcPr>
          <w:p w14:paraId="381053BA" w14:textId="77777777" w:rsidR="003F2E7C" w:rsidRPr="00C65055" w:rsidRDefault="003F2E7C" w:rsidP="00206464">
            <w:pPr>
              <w:tabs>
                <w:tab w:val="left" w:pos="288"/>
                <w:tab w:val="left" w:pos="576"/>
                <w:tab w:val="left" w:pos="864"/>
                <w:tab w:val="left" w:pos="1152"/>
              </w:tabs>
              <w:spacing w:before="40" w:after="81" w:line="210" w:lineRule="exact"/>
              <w:ind w:left="144" w:right="40"/>
              <w:jc w:val="right"/>
              <w:rPr>
                <w:sz w:val="17"/>
              </w:rPr>
            </w:pPr>
            <w:r w:rsidRPr="00C65055">
              <w:rPr>
                <w:sz w:val="17"/>
              </w:rPr>
              <w:t xml:space="preserve"> (40.2)</w:t>
            </w:r>
          </w:p>
        </w:tc>
        <w:tc>
          <w:tcPr>
            <w:tcW w:w="936" w:type="dxa"/>
            <w:tcBorders>
              <w:bottom w:val="single" w:sz="4" w:space="0" w:color="auto"/>
            </w:tcBorders>
            <w:shd w:val="clear" w:color="auto" w:fill="auto"/>
            <w:vAlign w:val="bottom"/>
          </w:tcPr>
          <w:p w14:paraId="6568CBBA" w14:textId="77777777" w:rsidR="003F2E7C" w:rsidRPr="00C65055" w:rsidRDefault="003F2E7C" w:rsidP="00206464">
            <w:pPr>
              <w:tabs>
                <w:tab w:val="left" w:pos="288"/>
                <w:tab w:val="left" w:pos="576"/>
                <w:tab w:val="left" w:pos="864"/>
                <w:tab w:val="left" w:pos="1152"/>
              </w:tabs>
              <w:spacing w:before="40" w:after="81" w:line="210" w:lineRule="exact"/>
              <w:ind w:left="144" w:right="40"/>
              <w:jc w:val="right"/>
              <w:rPr>
                <w:sz w:val="17"/>
              </w:rPr>
            </w:pPr>
            <w:r w:rsidRPr="00C65055">
              <w:rPr>
                <w:sz w:val="17"/>
              </w:rPr>
              <w:t xml:space="preserve"> 186.0</w:t>
            </w:r>
          </w:p>
        </w:tc>
      </w:tr>
      <w:tr w:rsidR="00EF5A7F" w:rsidRPr="00C65055" w14:paraId="6E278345" w14:textId="77777777" w:rsidTr="00EF5A7F">
        <w:tc>
          <w:tcPr>
            <w:tcW w:w="2484" w:type="dxa"/>
            <w:tcBorders>
              <w:top w:val="single" w:sz="4" w:space="0" w:color="auto"/>
              <w:bottom w:val="single" w:sz="4" w:space="0" w:color="auto"/>
            </w:tcBorders>
            <w:shd w:val="clear" w:color="auto" w:fill="auto"/>
            <w:vAlign w:val="bottom"/>
          </w:tcPr>
          <w:p w14:paraId="7A471A7D" w14:textId="77777777" w:rsidR="003F2E7C" w:rsidRPr="00C65055" w:rsidRDefault="003F2E7C" w:rsidP="00206464">
            <w:pPr>
              <w:tabs>
                <w:tab w:val="left" w:pos="288"/>
                <w:tab w:val="left" w:pos="576"/>
                <w:tab w:val="left" w:pos="864"/>
                <w:tab w:val="left" w:pos="1152"/>
              </w:tabs>
              <w:spacing w:before="81" w:after="81" w:line="210" w:lineRule="exact"/>
              <w:ind w:right="40"/>
              <w:rPr>
                <w:b/>
                <w:sz w:val="17"/>
              </w:rPr>
            </w:pPr>
            <w:r>
              <w:rPr>
                <w:b/>
                <w:sz w:val="17"/>
              </w:rPr>
              <w:tab/>
            </w:r>
            <w:r w:rsidRPr="00C65055">
              <w:rPr>
                <w:b/>
                <w:sz w:val="17"/>
              </w:rPr>
              <w:t>Total</w:t>
            </w:r>
          </w:p>
        </w:tc>
        <w:tc>
          <w:tcPr>
            <w:tcW w:w="1080" w:type="dxa"/>
            <w:tcBorders>
              <w:top w:val="single" w:sz="4" w:space="0" w:color="auto"/>
              <w:bottom w:val="single" w:sz="4" w:space="0" w:color="auto"/>
            </w:tcBorders>
            <w:shd w:val="clear" w:color="auto" w:fill="auto"/>
            <w:vAlign w:val="bottom"/>
          </w:tcPr>
          <w:p w14:paraId="14D02DB1"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sidRPr="00C65055">
              <w:rPr>
                <w:b/>
                <w:sz w:val="17"/>
              </w:rPr>
              <w:t xml:space="preserve"> 1 537.3</w:t>
            </w:r>
          </w:p>
        </w:tc>
        <w:tc>
          <w:tcPr>
            <w:tcW w:w="1080" w:type="dxa"/>
            <w:tcBorders>
              <w:top w:val="single" w:sz="4" w:space="0" w:color="auto"/>
              <w:bottom w:val="single" w:sz="4" w:space="0" w:color="auto"/>
            </w:tcBorders>
            <w:shd w:val="clear" w:color="auto" w:fill="auto"/>
            <w:vAlign w:val="bottom"/>
          </w:tcPr>
          <w:p w14:paraId="11759FF8"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sidRPr="00C65055">
              <w:rPr>
                <w:b/>
                <w:sz w:val="17"/>
              </w:rPr>
              <w:t xml:space="preserve"> 1 640.8 </w:t>
            </w:r>
          </w:p>
        </w:tc>
        <w:tc>
          <w:tcPr>
            <w:tcW w:w="1026" w:type="dxa"/>
            <w:tcBorders>
              <w:top w:val="single" w:sz="4" w:space="0" w:color="auto"/>
              <w:bottom w:val="single" w:sz="4" w:space="0" w:color="auto"/>
            </w:tcBorders>
            <w:shd w:val="clear" w:color="auto" w:fill="auto"/>
            <w:vAlign w:val="bottom"/>
          </w:tcPr>
          <w:p w14:paraId="68869734"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65055">
              <w:rPr>
                <w:b/>
                <w:sz w:val="17"/>
              </w:rPr>
              <w:t>–</w:t>
            </w:r>
            <w:r>
              <w:rPr>
                <w:b/>
                <w:sz w:val="17"/>
              </w:rPr>
              <w:t xml:space="preserve"> </w:t>
            </w:r>
          </w:p>
        </w:tc>
        <w:tc>
          <w:tcPr>
            <w:tcW w:w="891" w:type="dxa"/>
            <w:tcBorders>
              <w:top w:val="single" w:sz="4" w:space="0" w:color="auto"/>
              <w:bottom w:val="single" w:sz="4" w:space="0" w:color="auto"/>
            </w:tcBorders>
            <w:shd w:val="clear" w:color="auto" w:fill="auto"/>
            <w:vAlign w:val="bottom"/>
          </w:tcPr>
          <w:p w14:paraId="0E6382E1"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sidRPr="00C65055">
              <w:rPr>
                <w:b/>
                <w:sz w:val="17"/>
              </w:rPr>
              <w:t xml:space="preserve"> –</w:t>
            </w:r>
          </w:p>
        </w:tc>
        <w:tc>
          <w:tcPr>
            <w:tcW w:w="726" w:type="dxa"/>
            <w:tcBorders>
              <w:top w:val="single" w:sz="4" w:space="0" w:color="auto"/>
              <w:bottom w:val="single" w:sz="4" w:space="0" w:color="auto"/>
            </w:tcBorders>
            <w:shd w:val="clear" w:color="auto" w:fill="auto"/>
            <w:vAlign w:val="bottom"/>
          </w:tcPr>
          <w:p w14:paraId="1AA0B52D"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sidRPr="00C65055">
              <w:rPr>
                <w:b/>
                <w:sz w:val="17"/>
              </w:rPr>
              <w:t>(125.1)</w:t>
            </w:r>
            <w:r>
              <w:rPr>
                <w:b/>
                <w:sz w:val="17"/>
              </w:rPr>
              <w:t xml:space="preserve"> </w:t>
            </w:r>
          </w:p>
        </w:tc>
        <w:tc>
          <w:tcPr>
            <w:tcW w:w="723" w:type="dxa"/>
            <w:tcBorders>
              <w:top w:val="single" w:sz="4" w:space="0" w:color="auto"/>
              <w:bottom w:val="single" w:sz="4" w:space="0" w:color="auto"/>
            </w:tcBorders>
            <w:shd w:val="clear" w:color="auto" w:fill="auto"/>
            <w:vAlign w:val="bottom"/>
          </w:tcPr>
          <w:p w14:paraId="2253451C" w14:textId="24CE00F1"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sidRPr="00C65055">
              <w:rPr>
                <w:b/>
                <w:sz w:val="17"/>
              </w:rPr>
              <w:t>(125.1)</w:t>
            </w:r>
          </w:p>
        </w:tc>
        <w:tc>
          <w:tcPr>
            <w:tcW w:w="900" w:type="dxa"/>
            <w:tcBorders>
              <w:top w:val="single" w:sz="4" w:space="0" w:color="auto"/>
              <w:bottom w:val="single" w:sz="4" w:space="0" w:color="auto"/>
            </w:tcBorders>
            <w:shd w:val="clear" w:color="auto" w:fill="auto"/>
            <w:vAlign w:val="bottom"/>
          </w:tcPr>
          <w:p w14:paraId="6F8EFAC4"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sidRPr="00C65055">
              <w:rPr>
                <w:b/>
                <w:sz w:val="17"/>
              </w:rPr>
              <w:t xml:space="preserve"> (7.6)</w:t>
            </w:r>
          </w:p>
        </w:tc>
        <w:tc>
          <w:tcPr>
            <w:tcW w:w="936" w:type="dxa"/>
            <w:tcBorders>
              <w:top w:val="single" w:sz="4" w:space="0" w:color="auto"/>
              <w:bottom w:val="single" w:sz="4" w:space="0" w:color="auto"/>
            </w:tcBorders>
            <w:shd w:val="clear" w:color="auto" w:fill="auto"/>
            <w:vAlign w:val="bottom"/>
          </w:tcPr>
          <w:p w14:paraId="5B3728DD"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sidRPr="00C65055">
              <w:rPr>
                <w:b/>
                <w:sz w:val="17"/>
              </w:rPr>
              <w:t xml:space="preserve"> 1 515.7</w:t>
            </w:r>
          </w:p>
        </w:tc>
      </w:tr>
      <w:tr w:rsidR="003F2E7C" w:rsidRPr="00C65055" w14:paraId="4259EF5F" w14:textId="77777777" w:rsidTr="00EF5A7F">
        <w:tc>
          <w:tcPr>
            <w:tcW w:w="4644" w:type="dxa"/>
            <w:gridSpan w:val="3"/>
            <w:tcBorders>
              <w:top w:val="single" w:sz="4" w:space="0" w:color="auto"/>
            </w:tcBorders>
            <w:shd w:val="clear" w:color="auto" w:fill="auto"/>
            <w:vAlign w:val="bottom"/>
          </w:tcPr>
          <w:p w14:paraId="7CE3D7DD" w14:textId="77777777" w:rsidR="003F2E7C" w:rsidRPr="001B44EC" w:rsidRDefault="003F2E7C" w:rsidP="00674BD1">
            <w:pPr>
              <w:tabs>
                <w:tab w:val="left" w:pos="288"/>
                <w:tab w:val="left" w:pos="576"/>
                <w:tab w:val="left" w:pos="864"/>
                <w:tab w:val="left" w:pos="1152"/>
              </w:tabs>
              <w:spacing w:before="82" w:after="40" w:line="210" w:lineRule="exact"/>
              <w:ind w:right="43"/>
              <w:rPr>
                <w:b/>
                <w:bCs/>
                <w:sz w:val="17"/>
              </w:rPr>
            </w:pPr>
            <w:r w:rsidRPr="001B44EC">
              <w:rPr>
                <w:b/>
                <w:bCs/>
                <w:sz w:val="17"/>
              </w:rPr>
              <w:t>Post resources by category</w:t>
            </w:r>
          </w:p>
        </w:tc>
        <w:tc>
          <w:tcPr>
            <w:tcW w:w="1026" w:type="dxa"/>
            <w:tcBorders>
              <w:top w:val="single" w:sz="4" w:space="0" w:color="auto"/>
            </w:tcBorders>
            <w:shd w:val="clear" w:color="auto" w:fill="auto"/>
            <w:vAlign w:val="bottom"/>
          </w:tcPr>
          <w:p w14:paraId="4BDD2568" w14:textId="77777777" w:rsidR="003F2E7C" w:rsidRPr="00C65055" w:rsidRDefault="003F2E7C" w:rsidP="00674BD1">
            <w:pPr>
              <w:tabs>
                <w:tab w:val="left" w:pos="288"/>
                <w:tab w:val="left" w:pos="576"/>
                <w:tab w:val="left" w:pos="864"/>
                <w:tab w:val="left" w:pos="1152"/>
              </w:tabs>
              <w:spacing w:before="82" w:after="40" w:line="210" w:lineRule="exact"/>
              <w:ind w:left="144" w:right="40"/>
              <w:jc w:val="right"/>
              <w:rPr>
                <w:sz w:val="17"/>
              </w:rPr>
            </w:pPr>
          </w:p>
        </w:tc>
        <w:tc>
          <w:tcPr>
            <w:tcW w:w="891" w:type="dxa"/>
            <w:tcBorders>
              <w:top w:val="single" w:sz="4" w:space="0" w:color="auto"/>
            </w:tcBorders>
            <w:shd w:val="clear" w:color="auto" w:fill="auto"/>
            <w:vAlign w:val="bottom"/>
          </w:tcPr>
          <w:p w14:paraId="7DF0E4D0" w14:textId="77777777" w:rsidR="003F2E7C" w:rsidRPr="00C65055" w:rsidRDefault="003F2E7C" w:rsidP="00674BD1">
            <w:pPr>
              <w:tabs>
                <w:tab w:val="left" w:pos="288"/>
                <w:tab w:val="left" w:pos="576"/>
                <w:tab w:val="left" w:pos="864"/>
                <w:tab w:val="left" w:pos="1152"/>
              </w:tabs>
              <w:spacing w:before="82" w:after="40" w:line="210" w:lineRule="exact"/>
              <w:ind w:left="144" w:right="40"/>
              <w:jc w:val="right"/>
              <w:rPr>
                <w:sz w:val="17"/>
              </w:rPr>
            </w:pPr>
          </w:p>
        </w:tc>
        <w:tc>
          <w:tcPr>
            <w:tcW w:w="726" w:type="dxa"/>
            <w:tcBorders>
              <w:top w:val="single" w:sz="4" w:space="0" w:color="auto"/>
            </w:tcBorders>
            <w:shd w:val="clear" w:color="auto" w:fill="auto"/>
            <w:vAlign w:val="bottom"/>
          </w:tcPr>
          <w:p w14:paraId="1D86FE32" w14:textId="77777777" w:rsidR="003F2E7C" w:rsidRPr="00C65055" w:rsidRDefault="003F2E7C" w:rsidP="00674BD1">
            <w:pPr>
              <w:tabs>
                <w:tab w:val="left" w:pos="288"/>
                <w:tab w:val="left" w:pos="576"/>
                <w:tab w:val="left" w:pos="864"/>
                <w:tab w:val="left" w:pos="1152"/>
              </w:tabs>
              <w:spacing w:before="82" w:after="40" w:line="210" w:lineRule="exact"/>
              <w:ind w:left="144" w:right="40"/>
              <w:jc w:val="right"/>
              <w:rPr>
                <w:sz w:val="17"/>
              </w:rPr>
            </w:pPr>
          </w:p>
        </w:tc>
        <w:tc>
          <w:tcPr>
            <w:tcW w:w="723" w:type="dxa"/>
            <w:tcBorders>
              <w:top w:val="single" w:sz="4" w:space="0" w:color="auto"/>
            </w:tcBorders>
            <w:shd w:val="clear" w:color="auto" w:fill="auto"/>
            <w:vAlign w:val="bottom"/>
          </w:tcPr>
          <w:p w14:paraId="5ED276BD" w14:textId="77777777" w:rsidR="003F2E7C" w:rsidRPr="00C65055" w:rsidRDefault="003F2E7C" w:rsidP="00674BD1">
            <w:pPr>
              <w:tabs>
                <w:tab w:val="left" w:pos="288"/>
                <w:tab w:val="left" w:pos="576"/>
                <w:tab w:val="left" w:pos="864"/>
                <w:tab w:val="left" w:pos="1152"/>
              </w:tabs>
              <w:spacing w:before="82" w:after="40" w:line="210" w:lineRule="exact"/>
              <w:ind w:left="144" w:right="40"/>
              <w:jc w:val="right"/>
              <w:rPr>
                <w:sz w:val="17"/>
              </w:rPr>
            </w:pPr>
          </w:p>
        </w:tc>
        <w:tc>
          <w:tcPr>
            <w:tcW w:w="900" w:type="dxa"/>
            <w:tcBorders>
              <w:top w:val="single" w:sz="4" w:space="0" w:color="auto"/>
            </w:tcBorders>
            <w:shd w:val="clear" w:color="auto" w:fill="auto"/>
            <w:vAlign w:val="bottom"/>
          </w:tcPr>
          <w:p w14:paraId="4B2221CD" w14:textId="77777777" w:rsidR="003F2E7C" w:rsidRPr="00C65055" w:rsidRDefault="003F2E7C" w:rsidP="00674BD1">
            <w:pPr>
              <w:tabs>
                <w:tab w:val="left" w:pos="288"/>
                <w:tab w:val="left" w:pos="576"/>
                <w:tab w:val="left" w:pos="864"/>
                <w:tab w:val="left" w:pos="1152"/>
              </w:tabs>
              <w:spacing w:before="82" w:after="40" w:line="210" w:lineRule="exact"/>
              <w:ind w:left="144" w:right="40"/>
              <w:jc w:val="right"/>
              <w:rPr>
                <w:sz w:val="17"/>
              </w:rPr>
            </w:pPr>
          </w:p>
        </w:tc>
        <w:tc>
          <w:tcPr>
            <w:tcW w:w="936" w:type="dxa"/>
            <w:tcBorders>
              <w:top w:val="single" w:sz="4" w:space="0" w:color="auto"/>
            </w:tcBorders>
            <w:shd w:val="clear" w:color="auto" w:fill="auto"/>
            <w:vAlign w:val="bottom"/>
          </w:tcPr>
          <w:p w14:paraId="777799F3" w14:textId="77777777" w:rsidR="003F2E7C" w:rsidRPr="00C65055" w:rsidRDefault="003F2E7C" w:rsidP="00674BD1">
            <w:pPr>
              <w:tabs>
                <w:tab w:val="left" w:pos="288"/>
                <w:tab w:val="left" w:pos="576"/>
                <w:tab w:val="left" w:pos="864"/>
                <w:tab w:val="left" w:pos="1152"/>
              </w:tabs>
              <w:spacing w:before="82" w:after="40" w:line="210" w:lineRule="exact"/>
              <w:ind w:left="144" w:right="40"/>
              <w:jc w:val="right"/>
              <w:rPr>
                <w:sz w:val="17"/>
              </w:rPr>
            </w:pPr>
          </w:p>
        </w:tc>
      </w:tr>
      <w:tr w:rsidR="00EF5A7F" w:rsidRPr="00C65055" w14:paraId="2925AB74" w14:textId="77777777" w:rsidTr="00EF5A7F">
        <w:tc>
          <w:tcPr>
            <w:tcW w:w="2484" w:type="dxa"/>
            <w:shd w:val="clear" w:color="auto" w:fill="auto"/>
            <w:vAlign w:val="bottom"/>
          </w:tcPr>
          <w:p w14:paraId="0F40DF2A" w14:textId="77777777" w:rsidR="003F2E7C" w:rsidRPr="00C65055" w:rsidRDefault="003F2E7C" w:rsidP="00206464">
            <w:pPr>
              <w:tabs>
                <w:tab w:val="left" w:pos="288"/>
                <w:tab w:val="left" w:pos="576"/>
                <w:tab w:val="left" w:pos="864"/>
                <w:tab w:val="left" w:pos="1152"/>
              </w:tabs>
              <w:spacing w:before="40" w:after="40" w:line="210" w:lineRule="exact"/>
              <w:ind w:right="40"/>
              <w:rPr>
                <w:sz w:val="17"/>
              </w:rPr>
            </w:pPr>
            <w:r w:rsidRPr="00C65055">
              <w:rPr>
                <w:sz w:val="17"/>
              </w:rPr>
              <w:t>Professional and higher</w:t>
            </w:r>
          </w:p>
        </w:tc>
        <w:tc>
          <w:tcPr>
            <w:tcW w:w="1080" w:type="dxa"/>
            <w:shd w:val="clear" w:color="auto" w:fill="auto"/>
            <w:vAlign w:val="bottom"/>
          </w:tcPr>
          <w:p w14:paraId="46BE04F5"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1080" w:type="dxa"/>
            <w:shd w:val="clear" w:color="auto" w:fill="auto"/>
            <w:vAlign w:val="bottom"/>
          </w:tcPr>
          <w:p w14:paraId="02D0F569"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sidRPr="00C65055">
              <w:rPr>
                <w:sz w:val="17"/>
              </w:rPr>
              <w:t xml:space="preserve"> 4 </w:t>
            </w:r>
          </w:p>
        </w:tc>
        <w:tc>
          <w:tcPr>
            <w:tcW w:w="1026" w:type="dxa"/>
            <w:shd w:val="clear" w:color="auto" w:fill="auto"/>
            <w:vAlign w:val="bottom"/>
          </w:tcPr>
          <w:p w14:paraId="25637EC9"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C65055">
              <w:rPr>
                <w:sz w:val="17"/>
              </w:rPr>
              <w:t xml:space="preserve"> </w:t>
            </w:r>
          </w:p>
        </w:tc>
        <w:tc>
          <w:tcPr>
            <w:tcW w:w="891" w:type="dxa"/>
            <w:shd w:val="clear" w:color="auto" w:fill="auto"/>
            <w:vAlign w:val="bottom"/>
          </w:tcPr>
          <w:p w14:paraId="75039CFE"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C65055">
              <w:rPr>
                <w:sz w:val="17"/>
              </w:rPr>
              <w:t xml:space="preserve"> </w:t>
            </w:r>
          </w:p>
        </w:tc>
        <w:tc>
          <w:tcPr>
            <w:tcW w:w="726" w:type="dxa"/>
            <w:shd w:val="clear" w:color="auto" w:fill="auto"/>
            <w:vAlign w:val="bottom"/>
          </w:tcPr>
          <w:p w14:paraId="26AAA10E"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C65055">
              <w:rPr>
                <w:sz w:val="17"/>
              </w:rPr>
              <w:t xml:space="preserve"> </w:t>
            </w:r>
          </w:p>
        </w:tc>
        <w:tc>
          <w:tcPr>
            <w:tcW w:w="723" w:type="dxa"/>
            <w:shd w:val="clear" w:color="auto" w:fill="auto"/>
            <w:vAlign w:val="bottom"/>
          </w:tcPr>
          <w:p w14:paraId="7AF15566"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C65055">
              <w:rPr>
                <w:sz w:val="17"/>
              </w:rPr>
              <w:t xml:space="preserve"> </w:t>
            </w:r>
          </w:p>
        </w:tc>
        <w:tc>
          <w:tcPr>
            <w:tcW w:w="900" w:type="dxa"/>
            <w:shd w:val="clear" w:color="auto" w:fill="auto"/>
            <w:vAlign w:val="bottom"/>
          </w:tcPr>
          <w:p w14:paraId="1766168E"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C65055">
              <w:rPr>
                <w:sz w:val="17"/>
              </w:rPr>
              <w:t xml:space="preserve"> </w:t>
            </w:r>
          </w:p>
        </w:tc>
        <w:tc>
          <w:tcPr>
            <w:tcW w:w="936" w:type="dxa"/>
            <w:shd w:val="clear" w:color="auto" w:fill="auto"/>
            <w:vAlign w:val="bottom"/>
          </w:tcPr>
          <w:p w14:paraId="427BF9A9"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sidRPr="00C65055">
              <w:rPr>
                <w:sz w:val="17"/>
              </w:rPr>
              <w:t xml:space="preserve"> 4 </w:t>
            </w:r>
          </w:p>
        </w:tc>
      </w:tr>
      <w:tr w:rsidR="00EF5A7F" w:rsidRPr="00C65055" w14:paraId="0516C977" w14:textId="77777777" w:rsidTr="00EF5A7F">
        <w:tc>
          <w:tcPr>
            <w:tcW w:w="2484" w:type="dxa"/>
            <w:tcBorders>
              <w:bottom w:val="single" w:sz="4" w:space="0" w:color="auto"/>
            </w:tcBorders>
            <w:shd w:val="clear" w:color="auto" w:fill="auto"/>
            <w:vAlign w:val="bottom"/>
          </w:tcPr>
          <w:p w14:paraId="252F3990" w14:textId="77777777" w:rsidR="003F2E7C" w:rsidRPr="00C65055" w:rsidRDefault="003F2E7C" w:rsidP="00206464">
            <w:pPr>
              <w:tabs>
                <w:tab w:val="left" w:pos="288"/>
                <w:tab w:val="left" w:pos="576"/>
                <w:tab w:val="left" w:pos="864"/>
                <w:tab w:val="left" w:pos="1152"/>
              </w:tabs>
              <w:spacing w:before="40" w:after="40" w:line="210" w:lineRule="exact"/>
              <w:ind w:right="40"/>
              <w:rPr>
                <w:sz w:val="17"/>
              </w:rPr>
            </w:pPr>
            <w:r w:rsidRPr="00C65055">
              <w:rPr>
                <w:sz w:val="17"/>
              </w:rPr>
              <w:t>General Service and related</w:t>
            </w:r>
          </w:p>
        </w:tc>
        <w:tc>
          <w:tcPr>
            <w:tcW w:w="1080" w:type="dxa"/>
            <w:tcBorders>
              <w:bottom w:val="single" w:sz="4" w:space="0" w:color="auto"/>
            </w:tcBorders>
            <w:shd w:val="clear" w:color="auto" w:fill="auto"/>
            <w:vAlign w:val="bottom"/>
          </w:tcPr>
          <w:p w14:paraId="1FC01A89"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p>
        </w:tc>
        <w:tc>
          <w:tcPr>
            <w:tcW w:w="1080" w:type="dxa"/>
            <w:tcBorders>
              <w:bottom w:val="single" w:sz="4" w:space="0" w:color="auto"/>
            </w:tcBorders>
            <w:shd w:val="clear" w:color="auto" w:fill="auto"/>
            <w:vAlign w:val="bottom"/>
          </w:tcPr>
          <w:p w14:paraId="27C6CFB7"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sidRPr="00C65055">
              <w:rPr>
                <w:sz w:val="17"/>
              </w:rPr>
              <w:t xml:space="preserve"> 3 </w:t>
            </w:r>
          </w:p>
        </w:tc>
        <w:tc>
          <w:tcPr>
            <w:tcW w:w="1026" w:type="dxa"/>
            <w:tcBorders>
              <w:bottom w:val="single" w:sz="4" w:space="0" w:color="auto"/>
            </w:tcBorders>
            <w:shd w:val="clear" w:color="auto" w:fill="auto"/>
            <w:vAlign w:val="bottom"/>
          </w:tcPr>
          <w:p w14:paraId="111B6012"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C65055">
              <w:rPr>
                <w:sz w:val="17"/>
              </w:rPr>
              <w:t xml:space="preserve"> </w:t>
            </w:r>
          </w:p>
        </w:tc>
        <w:tc>
          <w:tcPr>
            <w:tcW w:w="891" w:type="dxa"/>
            <w:tcBorders>
              <w:bottom w:val="single" w:sz="4" w:space="0" w:color="auto"/>
            </w:tcBorders>
            <w:shd w:val="clear" w:color="auto" w:fill="auto"/>
            <w:vAlign w:val="bottom"/>
          </w:tcPr>
          <w:p w14:paraId="62415C0B"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C65055">
              <w:rPr>
                <w:sz w:val="17"/>
              </w:rPr>
              <w:t xml:space="preserve"> </w:t>
            </w:r>
          </w:p>
        </w:tc>
        <w:tc>
          <w:tcPr>
            <w:tcW w:w="726" w:type="dxa"/>
            <w:tcBorders>
              <w:bottom w:val="single" w:sz="4" w:space="0" w:color="auto"/>
            </w:tcBorders>
            <w:shd w:val="clear" w:color="auto" w:fill="auto"/>
            <w:vAlign w:val="bottom"/>
          </w:tcPr>
          <w:p w14:paraId="0074F31B"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C65055">
              <w:rPr>
                <w:sz w:val="17"/>
              </w:rPr>
              <w:t xml:space="preserve"> </w:t>
            </w:r>
          </w:p>
        </w:tc>
        <w:tc>
          <w:tcPr>
            <w:tcW w:w="723" w:type="dxa"/>
            <w:tcBorders>
              <w:bottom w:val="single" w:sz="4" w:space="0" w:color="auto"/>
            </w:tcBorders>
            <w:shd w:val="clear" w:color="auto" w:fill="auto"/>
            <w:vAlign w:val="bottom"/>
          </w:tcPr>
          <w:p w14:paraId="219F15DF"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C65055">
              <w:rPr>
                <w:sz w:val="17"/>
              </w:rPr>
              <w:t xml:space="preserve"> </w:t>
            </w:r>
          </w:p>
        </w:tc>
        <w:tc>
          <w:tcPr>
            <w:tcW w:w="900" w:type="dxa"/>
            <w:tcBorders>
              <w:bottom w:val="single" w:sz="4" w:space="0" w:color="auto"/>
            </w:tcBorders>
            <w:shd w:val="clear" w:color="auto" w:fill="auto"/>
            <w:vAlign w:val="bottom"/>
          </w:tcPr>
          <w:p w14:paraId="6F16D54A"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Pr>
                <w:sz w:val="17"/>
              </w:rPr>
              <w:t xml:space="preserve"> –</w:t>
            </w:r>
            <w:r w:rsidRPr="00C65055">
              <w:rPr>
                <w:sz w:val="17"/>
              </w:rPr>
              <w:t xml:space="preserve"> </w:t>
            </w:r>
          </w:p>
        </w:tc>
        <w:tc>
          <w:tcPr>
            <w:tcW w:w="936" w:type="dxa"/>
            <w:tcBorders>
              <w:bottom w:val="single" w:sz="4" w:space="0" w:color="auto"/>
            </w:tcBorders>
            <w:shd w:val="clear" w:color="auto" w:fill="auto"/>
            <w:vAlign w:val="bottom"/>
          </w:tcPr>
          <w:p w14:paraId="5A0175F3" w14:textId="77777777" w:rsidR="003F2E7C" w:rsidRPr="00C65055" w:rsidRDefault="003F2E7C" w:rsidP="00206464">
            <w:pPr>
              <w:tabs>
                <w:tab w:val="left" w:pos="288"/>
                <w:tab w:val="left" w:pos="576"/>
                <w:tab w:val="left" w:pos="864"/>
                <w:tab w:val="left" w:pos="1152"/>
              </w:tabs>
              <w:spacing w:before="40" w:after="40" w:line="210" w:lineRule="exact"/>
              <w:ind w:left="144" w:right="40"/>
              <w:jc w:val="right"/>
              <w:rPr>
                <w:sz w:val="17"/>
              </w:rPr>
            </w:pPr>
            <w:r w:rsidRPr="00C65055">
              <w:rPr>
                <w:sz w:val="17"/>
              </w:rPr>
              <w:t xml:space="preserve"> 3 </w:t>
            </w:r>
          </w:p>
        </w:tc>
      </w:tr>
      <w:tr w:rsidR="00EF5A7F" w:rsidRPr="00C65055" w14:paraId="6D87C87F" w14:textId="77777777" w:rsidTr="00EF5A7F">
        <w:tc>
          <w:tcPr>
            <w:tcW w:w="2484" w:type="dxa"/>
            <w:tcBorders>
              <w:top w:val="single" w:sz="4" w:space="0" w:color="auto"/>
              <w:bottom w:val="single" w:sz="12" w:space="0" w:color="auto"/>
            </w:tcBorders>
            <w:shd w:val="clear" w:color="auto" w:fill="auto"/>
            <w:vAlign w:val="bottom"/>
          </w:tcPr>
          <w:p w14:paraId="563B9A11" w14:textId="77777777" w:rsidR="003F2E7C" w:rsidRPr="00C65055" w:rsidRDefault="003F2E7C" w:rsidP="00206464">
            <w:pPr>
              <w:tabs>
                <w:tab w:val="left" w:pos="288"/>
                <w:tab w:val="left" w:pos="576"/>
                <w:tab w:val="left" w:pos="864"/>
                <w:tab w:val="left" w:pos="1152"/>
              </w:tabs>
              <w:spacing w:before="81" w:after="81" w:line="210" w:lineRule="exact"/>
              <w:ind w:right="40"/>
              <w:rPr>
                <w:b/>
                <w:sz w:val="17"/>
              </w:rPr>
            </w:pPr>
            <w:r>
              <w:rPr>
                <w:b/>
                <w:sz w:val="17"/>
              </w:rPr>
              <w:tab/>
            </w:r>
            <w:r w:rsidRPr="00C65055">
              <w:rPr>
                <w:b/>
                <w:sz w:val="17"/>
              </w:rPr>
              <w:t xml:space="preserve">Total </w:t>
            </w:r>
          </w:p>
        </w:tc>
        <w:tc>
          <w:tcPr>
            <w:tcW w:w="1080" w:type="dxa"/>
            <w:tcBorders>
              <w:top w:val="single" w:sz="4" w:space="0" w:color="auto"/>
              <w:bottom w:val="single" w:sz="12" w:space="0" w:color="auto"/>
            </w:tcBorders>
            <w:shd w:val="clear" w:color="auto" w:fill="auto"/>
            <w:vAlign w:val="bottom"/>
          </w:tcPr>
          <w:p w14:paraId="47927516"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p>
        </w:tc>
        <w:tc>
          <w:tcPr>
            <w:tcW w:w="1080" w:type="dxa"/>
            <w:tcBorders>
              <w:top w:val="single" w:sz="4" w:space="0" w:color="auto"/>
              <w:bottom w:val="single" w:sz="12" w:space="0" w:color="auto"/>
            </w:tcBorders>
            <w:shd w:val="clear" w:color="auto" w:fill="auto"/>
            <w:vAlign w:val="bottom"/>
          </w:tcPr>
          <w:p w14:paraId="58A2B0F2"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sidRPr="00C65055">
              <w:rPr>
                <w:b/>
                <w:sz w:val="17"/>
              </w:rPr>
              <w:t xml:space="preserve"> 7 </w:t>
            </w:r>
          </w:p>
        </w:tc>
        <w:tc>
          <w:tcPr>
            <w:tcW w:w="1026" w:type="dxa"/>
            <w:tcBorders>
              <w:top w:val="single" w:sz="4" w:space="0" w:color="auto"/>
              <w:bottom w:val="single" w:sz="12" w:space="0" w:color="auto"/>
            </w:tcBorders>
            <w:shd w:val="clear" w:color="auto" w:fill="auto"/>
            <w:vAlign w:val="bottom"/>
          </w:tcPr>
          <w:p w14:paraId="746B1997"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65055">
              <w:rPr>
                <w:b/>
                <w:sz w:val="17"/>
              </w:rPr>
              <w:t xml:space="preserve">– </w:t>
            </w:r>
          </w:p>
        </w:tc>
        <w:tc>
          <w:tcPr>
            <w:tcW w:w="891" w:type="dxa"/>
            <w:tcBorders>
              <w:top w:val="single" w:sz="4" w:space="0" w:color="auto"/>
              <w:bottom w:val="single" w:sz="12" w:space="0" w:color="auto"/>
            </w:tcBorders>
            <w:shd w:val="clear" w:color="auto" w:fill="auto"/>
            <w:vAlign w:val="bottom"/>
          </w:tcPr>
          <w:p w14:paraId="4BC1A25A"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65055">
              <w:rPr>
                <w:b/>
                <w:sz w:val="17"/>
              </w:rPr>
              <w:t xml:space="preserve">– </w:t>
            </w:r>
          </w:p>
        </w:tc>
        <w:tc>
          <w:tcPr>
            <w:tcW w:w="726" w:type="dxa"/>
            <w:tcBorders>
              <w:top w:val="single" w:sz="4" w:space="0" w:color="auto"/>
              <w:bottom w:val="single" w:sz="12" w:space="0" w:color="auto"/>
            </w:tcBorders>
            <w:shd w:val="clear" w:color="auto" w:fill="auto"/>
            <w:vAlign w:val="bottom"/>
          </w:tcPr>
          <w:p w14:paraId="5E7E3122"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65055">
              <w:rPr>
                <w:b/>
                <w:sz w:val="17"/>
              </w:rPr>
              <w:t xml:space="preserve">– </w:t>
            </w:r>
          </w:p>
        </w:tc>
        <w:tc>
          <w:tcPr>
            <w:tcW w:w="723" w:type="dxa"/>
            <w:tcBorders>
              <w:top w:val="single" w:sz="4" w:space="0" w:color="auto"/>
              <w:bottom w:val="single" w:sz="12" w:space="0" w:color="auto"/>
            </w:tcBorders>
            <w:shd w:val="clear" w:color="auto" w:fill="auto"/>
            <w:vAlign w:val="bottom"/>
          </w:tcPr>
          <w:p w14:paraId="2A2FC869"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65055">
              <w:rPr>
                <w:b/>
                <w:sz w:val="17"/>
              </w:rPr>
              <w:t xml:space="preserve">– </w:t>
            </w:r>
          </w:p>
        </w:tc>
        <w:tc>
          <w:tcPr>
            <w:tcW w:w="900" w:type="dxa"/>
            <w:tcBorders>
              <w:top w:val="single" w:sz="4" w:space="0" w:color="auto"/>
              <w:bottom w:val="single" w:sz="12" w:space="0" w:color="auto"/>
            </w:tcBorders>
            <w:shd w:val="clear" w:color="auto" w:fill="auto"/>
            <w:vAlign w:val="bottom"/>
          </w:tcPr>
          <w:p w14:paraId="06281C92"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Pr>
                <w:b/>
                <w:sz w:val="17"/>
              </w:rPr>
              <w:t xml:space="preserve"> </w:t>
            </w:r>
            <w:r w:rsidRPr="00C65055">
              <w:rPr>
                <w:b/>
                <w:sz w:val="17"/>
              </w:rPr>
              <w:t xml:space="preserve">– </w:t>
            </w:r>
          </w:p>
        </w:tc>
        <w:tc>
          <w:tcPr>
            <w:tcW w:w="936" w:type="dxa"/>
            <w:tcBorders>
              <w:top w:val="single" w:sz="4" w:space="0" w:color="auto"/>
              <w:bottom w:val="single" w:sz="12" w:space="0" w:color="auto"/>
            </w:tcBorders>
            <w:shd w:val="clear" w:color="auto" w:fill="auto"/>
            <w:vAlign w:val="bottom"/>
          </w:tcPr>
          <w:p w14:paraId="4BDCB7E6" w14:textId="77777777" w:rsidR="003F2E7C" w:rsidRPr="00C65055" w:rsidRDefault="003F2E7C" w:rsidP="00206464">
            <w:pPr>
              <w:tabs>
                <w:tab w:val="left" w:pos="288"/>
                <w:tab w:val="left" w:pos="576"/>
                <w:tab w:val="left" w:pos="864"/>
                <w:tab w:val="left" w:pos="1152"/>
              </w:tabs>
              <w:spacing w:before="81" w:after="81" w:line="210" w:lineRule="exact"/>
              <w:ind w:left="144" w:right="40"/>
              <w:jc w:val="right"/>
              <w:rPr>
                <w:b/>
                <w:sz w:val="17"/>
              </w:rPr>
            </w:pPr>
            <w:r w:rsidRPr="00C65055">
              <w:rPr>
                <w:b/>
                <w:sz w:val="17"/>
              </w:rPr>
              <w:t xml:space="preserve"> 7 </w:t>
            </w:r>
          </w:p>
        </w:tc>
      </w:tr>
    </w:tbl>
    <w:p w14:paraId="0D239717" w14:textId="77777777" w:rsidR="003F2E7C" w:rsidRPr="00514B6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9681703" w14:textId="77777777" w:rsidR="003F2E7C" w:rsidRPr="00514B6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A6FE4BF" w14:textId="77777777" w:rsidR="003F2E7C" w:rsidRPr="00514B6F"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rPr>
      </w:pPr>
      <w:r w:rsidRPr="00514B6F">
        <w:rPr>
          <w:b w:val="0"/>
          <w:bCs/>
        </w:rPr>
        <w:t>Figure 15.XIV</w:t>
      </w:r>
    </w:p>
    <w:p w14:paraId="61A763C7" w14:textId="77777777" w:rsidR="003F2E7C" w:rsidRPr="00E96905" w:rsidRDefault="003F2E7C" w:rsidP="003F2E7C">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30" w:hanging="1267"/>
      </w:pPr>
      <w:r w:rsidRPr="00E96905">
        <w:t xml:space="preserve">Executive direction and management: distribution of proposed resources for 2022 (before recosting) </w:t>
      </w:r>
    </w:p>
    <w:p w14:paraId="6DABB4D0" w14:textId="77777777" w:rsidR="003F2E7C" w:rsidRPr="00514B6F" w:rsidRDefault="003F2E7C" w:rsidP="003F2E7C">
      <w:pPr>
        <w:rPr>
          <w:sz w:val="14"/>
          <w:szCs w:val="14"/>
        </w:rPr>
      </w:pPr>
      <w:r w:rsidRPr="00514B6F">
        <w:rPr>
          <w:sz w:val="14"/>
          <w:szCs w:val="14"/>
        </w:rPr>
        <w:t>(Number of posts/thousands of United States dollars)</w:t>
      </w:r>
    </w:p>
    <w:p w14:paraId="6F448280" w14:textId="273C04D6" w:rsidR="003F2E7C" w:rsidRPr="00514B6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24F5AEB" w14:textId="7D1C77EA" w:rsidR="003F2E7C" w:rsidRPr="00514B6F" w:rsidRDefault="00EF5A7F"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lang w:val="en-US"/>
        </w:rPr>
        <w:drawing>
          <wp:anchor distT="0" distB="0" distL="114300" distR="114300" simplePos="0" relativeHeight="251691008" behindDoc="0" locked="0" layoutInCell="1" allowOverlap="1" wp14:anchorId="1F638324" wp14:editId="7E320F0A">
            <wp:simplePos x="0" y="0"/>
            <wp:positionH relativeFrom="margin">
              <wp:align>left</wp:align>
            </wp:positionH>
            <wp:positionV relativeFrom="paragraph">
              <wp:posOffset>85725</wp:posOffset>
            </wp:positionV>
            <wp:extent cx="6249670" cy="3009900"/>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96">
                      <a:extLst>
                        <a:ext uri="{28A0092B-C50C-407E-A947-70E740481C1C}">
                          <a14:useLocalDpi xmlns:a14="http://schemas.microsoft.com/office/drawing/2010/main" val="0"/>
                        </a:ext>
                      </a:extLst>
                    </a:blip>
                    <a:srcRect l="14258" r="13872" b="8397"/>
                    <a:stretch/>
                  </pic:blipFill>
                  <pic:spPr bwMode="auto">
                    <a:xfrm>
                      <a:off x="0" y="0"/>
                      <a:ext cx="6254352" cy="30120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3131D3F" w14:textId="77777777" w:rsidR="00EF5A7F" w:rsidRDefault="00EF5A7F">
      <w:pPr>
        <w:suppressAutoHyphens w:val="0"/>
        <w:spacing w:after="200" w:line="276" w:lineRule="auto"/>
        <w:rPr>
          <w:b/>
          <w:sz w:val="24"/>
        </w:rPr>
      </w:pPr>
      <w:r>
        <w:br w:type="page"/>
      </w:r>
    </w:p>
    <w:p w14:paraId="0D31FFC1" w14:textId="6177FC33" w:rsidR="003F2E7C" w:rsidRPr="00E96905" w:rsidRDefault="003F2E7C" w:rsidP="00EF5A7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lastRenderedPageBreak/>
        <w:tab/>
      </w:r>
      <w:r>
        <w:tab/>
      </w:r>
      <w:r w:rsidRPr="00E96905">
        <w:t>Extrabudgetary resources</w:t>
      </w:r>
    </w:p>
    <w:p w14:paraId="2D6BEC03" w14:textId="77777777" w:rsidR="003F2E7C" w:rsidRPr="00514B6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049F7FF" w14:textId="066D40B2" w:rsidR="003F2E7C" w:rsidRPr="00E96905" w:rsidRDefault="003F2E7C" w:rsidP="00134A9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15.15</w:t>
      </w:r>
      <w:r>
        <w:t>3</w:t>
      </w:r>
      <w:r w:rsidRPr="00E96905">
        <w:tab/>
        <w:t>Extrabudgetary resources for executive direction and management are estimated at $5,543,600 and would provide for 28 posts (1 Assistant Secretary-General, 1 D-2, 1 D-1, 3 P-5, 8 P-4, 3 P-3, 1 P</w:t>
      </w:r>
      <w:r>
        <w:noBreakHyphen/>
      </w:r>
      <w:r w:rsidRPr="00E96905">
        <w:t xml:space="preserve">2/1, 1 National Professional Officer (NPO) and 9 Local level (LL)), as well as non-post resources. The resources would be used to assist in the overall executive direction and management of UN-Habitat, including the planning, coordination, management and assessment of the programme of work and strategic plan of the Programme. The expected increase of $2,020,100 is mainly attributable to the proposed implementation of various initiatives, such as the International Urban Cooperation programme, </w:t>
      </w:r>
      <w:r w:rsidR="00134A90">
        <w:t>Sustainable Development Goals Cities, the Mayors’ Declaration of the Economic Commission for Europe Forum of Mayors 2020 and activities under the Commonwealth Healthy Cities initiative</w:t>
      </w:r>
      <w:r w:rsidRPr="00E96905">
        <w:t xml:space="preserve">. </w:t>
      </w:r>
    </w:p>
    <w:p w14:paraId="50BBC15C" w14:textId="77777777" w:rsidR="003F2E7C" w:rsidRPr="00514B6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DF5CA73" w14:textId="77777777" w:rsidR="003F2E7C" w:rsidRPr="00514B6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9648A6C" w14:textId="77777777" w:rsidR="003F2E7C" w:rsidRPr="00E96905" w:rsidRDefault="003F2E7C" w:rsidP="003F2E7C">
      <w:pPr>
        <w:pStyle w:val="H1"/>
        <w:ind w:right="1260"/>
      </w:pPr>
      <w:r>
        <w:tab/>
      </w:r>
      <w:r>
        <w:tab/>
      </w:r>
      <w:r w:rsidRPr="00E96905">
        <w:t>Programme of work</w:t>
      </w:r>
    </w:p>
    <w:p w14:paraId="511F399C" w14:textId="77777777" w:rsidR="003F2E7C" w:rsidRPr="00514B6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5F1F07C" w14:textId="77777777" w:rsidR="003F2E7C" w:rsidRPr="00514B6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DA3A495" w14:textId="6FDB7544" w:rsidR="003F2E7C" w:rsidRPr="00E96905"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tab/>
      </w:r>
      <w:r w:rsidRPr="00E96905">
        <w:t>15.15</w:t>
      </w:r>
      <w:r>
        <w:t>4</w:t>
      </w:r>
      <w:r w:rsidRPr="00E96905">
        <w:tab/>
        <w:t>The proposed regular budget resources for 2022 amount to $10,061,100 and reflect an increase of $918,300 compared with the appropriation for 2021. The proposed increase is explained in paragraphs 15.13</w:t>
      </w:r>
      <w:r w:rsidR="006A45EB">
        <w:t>3</w:t>
      </w:r>
      <w:r w:rsidRPr="00E96905">
        <w:t xml:space="preserve"> and 15.13</w:t>
      </w:r>
      <w:r w:rsidR="006A45EB">
        <w:t>4</w:t>
      </w:r>
      <w:r w:rsidRPr="00E96905">
        <w:t xml:space="preserve"> ((b) to (e)). The distribution of resources by subprogramme is reflected in figure 15.XV.</w:t>
      </w:r>
    </w:p>
    <w:p w14:paraId="29EDB24F" w14:textId="77777777" w:rsidR="003F2E7C" w:rsidRPr="00514B6F" w:rsidRDefault="003F2E7C"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7C0BD2E"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bookmarkStart w:id="8" w:name="BeginPage"/>
      <w:bookmarkEnd w:id="8"/>
      <w:r w:rsidRPr="007003B2">
        <w:rPr>
          <w:b w:val="0"/>
          <w:bCs/>
          <w:lang w:val="en-GB"/>
        </w:rPr>
        <w:t>Figure 15.XV</w:t>
      </w:r>
    </w:p>
    <w:p w14:paraId="58265BC9"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 xml:space="preserve">Distribution of proposed resources for 2022, by subprogramme </w:t>
      </w:r>
    </w:p>
    <w:p w14:paraId="529C1233"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(Millions of United States dollars)</w:t>
      </w:r>
    </w:p>
    <w:p w14:paraId="487302BF" w14:textId="5A38F906"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F3D3984" w14:textId="3A8038C9" w:rsidR="00EA185F" w:rsidRPr="007003B2" w:rsidRDefault="00674BD1"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sz w:val="10"/>
          <w:lang w:val="en-US"/>
        </w:rPr>
        <w:drawing>
          <wp:anchor distT="0" distB="0" distL="114300" distR="114300" simplePos="0" relativeHeight="251709440" behindDoc="0" locked="0" layoutInCell="1" allowOverlap="1" wp14:anchorId="7286FC7B" wp14:editId="640F59FF">
            <wp:simplePos x="0" y="0"/>
            <wp:positionH relativeFrom="margin">
              <wp:align>right</wp:align>
            </wp:positionH>
            <wp:positionV relativeFrom="paragraph">
              <wp:posOffset>101600</wp:posOffset>
            </wp:positionV>
            <wp:extent cx="6256020" cy="2717800"/>
            <wp:effectExtent l="0" t="0" r="0" b="635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6256020" cy="2717800"/>
                    </a:xfrm>
                    <a:prstGeom prst="rect">
                      <a:avLst/>
                    </a:prstGeom>
                    <a:noFill/>
                  </pic:spPr>
                </pic:pic>
              </a:graphicData>
            </a:graphic>
            <wp14:sizeRelH relativeFrom="margin">
              <wp14:pctWidth>0</wp14:pctWidth>
            </wp14:sizeRelH>
            <wp14:sizeRelV relativeFrom="margin">
              <wp14:pctHeight>0</wp14:pctHeight>
            </wp14:sizeRelV>
          </wp:anchor>
        </w:drawing>
      </w:r>
    </w:p>
    <w:p w14:paraId="28429C95" w14:textId="443C908A"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E7DD5C6" w14:textId="55EB2F3E"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C7ED802"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9319EB8" w14:textId="6861044F" w:rsidR="00EA185F" w:rsidRPr="007003B2" w:rsidRDefault="00EF5A7F" w:rsidP="00EF5A7F">
      <w:pPr>
        <w:pStyle w:val="H1"/>
        <w:ind w:right="1260"/>
      </w:pPr>
      <w:r>
        <w:tab/>
      </w:r>
      <w:r>
        <w:tab/>
      </w:r>
      <w:r w:rsidR="00EA185F" w:rsidRPr="007003B2">
        <w:t>Subprogramme 1</w:t>
      </w:r>
    </w:p>
    <w:p w14:paraId="4FA2B217" w14:textId="77D0163D" w:rsidR="00EA185F" w:rsidRPr="007003B2" w:rsidRDefault="00EF5A7F" w:rsidP="00EF5A7F">
      <w:pPr>
        <w:pStyle w:val="H1"/>
        <w:ind w:right="1260"/>
      </w:pPr>
      <w:r>
        <w:tab/>
      </w:r>
      <w:r>
        <w:tab/>
      </w:r>
      <w:r w:rsidR="00EA185F" w:rsidRPr="007003B2">
        <w:t xml:space="preserve">Reduced spatial inequality and poverty in communities across the urban-rural continuum </w:t>
      </w:r>
    </w:p>
    <w:p w14:paraId="2F96ED81"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C223CD6"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884C8D0" w14:textId="774412E3"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15.15</w:t>
      </w:r>
      <w:r w:rsidR="007B5582">
        <w:t>5</w:t>
      </w:r>
      <w:r w:rsidRPr="007003B2">
        <w:tab/>
        <w:t>The proposed regular budget resources for 2022 amount to $2,437,300 and reflect an increase of $188,800 compared with the appropriation for 2021. The proposed increase is explained in paragraphs 15.13</w:t>
      </w:r>
      <w:r w:rsidR="006A45EB">
        <w:t>3</w:t>
      </w:r>
      <w:r w:rsidRPr="007003B2">
        <w:t xml:space="preserve"> (a) and 15.13</w:t>
      </w:r>
      <w:r w:rsidR="006A45EB">
        <w:t>4</w:t>
      </w:r>
      <w:r w:rsidRPr="007003B2">
        <w:t xml:space="preserve"> (b). Additional details on the distribution of the proposed resources for 2022 are reflected in table 15.21 and figure 15.XVI.</w:t>
      </w:r>
    </w:p>
    <w:p w14:paraId="7918C30D"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5FFD4B7" w14:textId="77777777" w:rsidR="00EA185F" w:rsidRPr="007003B2" w:rsidRDefault="00EA185F" w:rsidP="00EF5A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7003B2">
        <w:rPr>
          <w:b w:val="0"/>
          <w:bCs/>
          <w:lang w:val="en-GB"/>
        </w:rPr>
        <w:lastRenderedPageBreak/>
        <w:t>Table 15.21</w:t>
      </w:r>
    </w:p>
    <w:p w14:paraId="0290483A" w14:textId="77777777" w:rsidR="00EA185F" w:rsidRPr="007003B2" w:rsidRDefault="00EA185F" w:rsidP="00EF5A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Subprogramme 1: evolution of financial and post resources</w:t>
      </w:r>
    </w:p>
    <w:p w14:paraId="742F8114" w14:textId="77777777" w:rsidR="00EA185F" w:rsidRPr="007003B2" w:rsidRDefault="00EA185F" w:rsidP="00EF5A7F">
      <w:pPr>
        <w:pStyle w:val="H23"/>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(Thousands of United States dollars/number of posts)</w:t>
      </w:r>
    </w:p>
    <w:p w14:paraId="5D77DC52" w14:textId="77777777" w:rsidR="00EA185F" w:rsidRPr="007003B2" w:rsidRDefault="00EA185F" w:rsidP="00EF5A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A4C1087" w14:textId="77777777" w:rsidR="00EA185F" w:rsidRPr="007003B2" w:rsidRDefault="00EA185F" w:rsidP="00EF5A7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58"/>
        <w:gridCol w:w="1062"/>
        <w:gridCol w:w="1063"/>
        <w:gridCol w:w="1041"/>
        <w:gridCol w:w="1016"/>
        <w:gridCol w:w="711"/>
        <w:gridCol w:w="690"/>
        <w:gridCol w:w="993"/>
        <w:gridCol w:w="912"/>
      </w:tblGrid>
      <w:tr w:rsidR="00EA185F" w:rsidRPr="007003B2" w14:paraId="799160D2" w14:textId="77777777" w:rsidTr="00EF5A7F">
        <w:trPr>
          <w:tblHeader/>
        </w:trPr>
        <w:tc>
          <w:tcPr>
            <w:tcW w:w="2358" w:type="dxa"/>
            <w:tcBorders>
              <w:top w:val="single" w:sz="4" w:space="0" w:color="auto"/>
            </w:tcBorders>
            <w:shd w:val="clear" w:color="auto" w:fill="auto"/>
            <w:vAlign w:val="bottom"/>
          </w:tcPr>
          <w:p w14:paraId="3322E39C" w14:textId="77777777" w:rsidR="00EA185F" w:rsidRPr="007003B2" w:rsidRDefault="00EA185F" w:rsidP="00EF5A7F">
            <w:pPr>
              <w:keepNext/>
              <w:keepLines/>
              <w:spacing w:before="81" w:after="81" w:line="160" w:lineRule="exact"/>
              <w:ind w:right="40"/>
              <w:rPr>
                <w:i/>
                <w:sz w:val="14"/>
                <w:lang w:val="en-GB"/>
              </w:rPr>
            </w:pPr>
          </w:p>
        </w:tc>
        <w:tc>
          <w:tcPr>
            <w:tcW w:w="1062" w:type="dxa"/>
            <w:tcBorders>
              <w:top w:val="single" w:sz="4" w:space="0" w:color="auto"/>
            </w:tcBorders>
            <w:shd w:val="clear" w:color="auto" w:fill="auto"/>
            <w:vAlign w:val="bottom"/>
          </w:tcPr>
          <w:p w14:paraId="5C82A5F8" w14:textId="77777777" w:rsidR="00EA185F" w:rsidRPr="007003B2" w:rsidRDefault="00EA185F" w:rsidP="00EF5A7F">
            <w:pPr>
              <w:keepNext/>
              <w:keepLines/>
              <w:spacing w:before="81" w:after="81" w:line="160" w:lineRule="exact"/>
              <w:ind w:left="144" w:right="40"/>
              <w:jc w:val="right"/>
              <w:rPr>
                <w:i/>
                <w:sz w:val="14"/>
                <w:lang w:val="en-GB"/>
              </w:rPr>
            </w:pPr>
          </w:p>
        </w:tc>
        <w:tc>
          <w:tcPr>
            <w:tcW w:w="1063" w:type="dxa"/>
            <w:tcBorders>
              <w:top w:val="single" w:sz="4" w:space="0" w:color="auto"/>
            </w:tcBorders>
            <w:shd w:val="clear" w:color="auto" w:fill="auto"/>
            <w:vAlign w:val="bottom"/>
          </w:tcPr>
          <w:p w14:paraId="1B26142E" w14:textId="77777777" w:rsidR="00EA185F" w:rsidRPr="007003B2" w:rsidRDefault="00EA185F" w:rsidP="00EF5A7F">
            <w:pPr>
              <w:keepNext/>
              <w:keepLines/>
              <w:spacing w:before="81" w:after="81" w:line="160" w:lineRule="exact"/>
              <w:ind w:left="144" w:right="40"/>
              <w:jc w:val="right"/>
              <w:rPr>
                <w:i/>
                <w:sz w:val="14"/>
                <w:lang w:val="en-GB"/>
              </w:rPr>
            </w:pPr>
          </w:p>
        </w:tc>
        <w:tc>
          <w:tcPr>
            <w:tcW w:w="4451" w:type="dxa"/>
            <w:gridSpan w:val="5"/>
            <w:tcBorders>
              <w:top w:val="single" w:sz="4" w:space="0" w:color="auto"/>
              <w:bottom w:val="single" w:sz="4" w:space="0" w:color="auto"/>
            </w:tcBorders>
            <w:shd w:val="clear" w:color="auto" w:fill="auto"/>
            <w:vAlign w:val="bottom"/>
          </w:tcPr>
          <w:p w14:paraId="1EE0F092" w14:textId="77777777" w:rsidR="00EA185F" w:rsidRPr="007003B2" w:rsidRDefault="00EA185F" w:rsidP="00EF5A7F">
            <w:pPr>
              <w:keepNext/>
              <w:keepLines/>
              <w:spacing w:before="81" w:after="81" w:line="160" w:lineRule="exact"/>
              <w:ind w:left="144" w:right="40"/>
              <w:jc w:val="center"/>
              <w:rPr>
                <w:i/>
                <w:sz w:val="14"/>
                <w:lang w:val="en-GB"/>
              </w:rPr>
            </w:pPr>
            <w:r w:rsidRPr="007003B2">
              <w:rPr>
                <w:i/>
                <w:sz w:val="14"/>
                <w:lang w:val="en-GB"/>
              </w:rPr>
              <w:t>Changes</w:t>
            </w:r>
          </w:p>
        </w:tc>
        <w:tc>
          <w:tcPr>
            <w:tcW w:w="912" w:type="dxa"/>
            <w:vMerge w:val="restart"/>
            <w:tcBorders>
              <w:top w:val="single" w:sz="4" w:space="0" w:color="auto"/>
            </w:tcBorders>
            <w:shd w:val="clear" w:color="auto" w:fill="auto"/>
            <w:vAlign w:val="bottom"/>
          </w:tcPr>
          <w:p w14:paraId="3679CBEF" w14:textId="77777777" w:rsidR="00EA185F" w:rsidRPr="007003B2" w:rsidRDefault="00EA185F" w:rsidP="00EF5A7F">
            <w:pPr>
              <w:keepNext/>
              <w:keepLines/>
              <w:spacing w:before="81" w:after="81" w:line="160" w:lineRule="exact"/>
              <w:ind w:left="144" w:right="40"/>
              <w:jc w:val="right"/>
              <w:rPr>
                <w:i/>
                <w:sz w:val="14"/>
                <w:lang w:val="en-GB"/>
              </w:rPr>
            </w:pPr>
            <w:r w:rsidRPr="007003B2">
              <w:rPr>
                <w:i/>
                <w:sz w:val="14"/>
                <w:lang w:val="en-GB"/>
              </w:rPr>
              <w:t>2022 estimate (before recosting)</w:t>
            </w:r>
          </w:p>
        </w:tc>
      </w:tr>
      <w:tr w:rsidR="00EA185F" w:rsidRPr="007003B2" w14:paraId="68027925" w14:textId="77777777" w:rsidTr="00EF5A7F">
        <w:trPr>
          <w:tblHeader/>
        </w:trPr>
        <w:tc>
          <w:tcPr>
            <w:tcW w:w="2358" w:type="dxa"/>
            <w:tcBorders>
              <w:bottom w:val="single" w:sz="12" w:space="0" w:color="auto"/>
            </w:tcBorders>
            <w:shd w:val="clear" w:color="auto" w:fill="auto"/>
            <w:vAlign w:val="bottom"/>
          </w:tcPr>
          <w:p w14:paraId="593C3FB0" w14:textId="77777777" w:rsidR="00EA185F" w:rsidRPr="007003B2" w:rsidRDefault="00EA185F" w:rsidP="00EF5A7F">
            <w:pPr>
              <w:keepNext/>
              <w:keepLines/>
              <w:spacing w:before="81" w:after="81" w:line="160" w:lineRule="exact"/>
              <w:ind w:right="40"/>
              <w:rPr>
                <w:i/>
                <w:sz w:val="14"/>
                <w:lang w:val="en-GB"/>
              </w:rPr>
            </w:pPr>
          </w:p>
        </w:tc>
        <w:tc>
          <w:tcPr>
            <w:tcW w:w="1062" w:type="dxa"/>
            <w:tcBorders>
              <w:bottom w:val="single" w:sz="12" w:space="0" w:color="auto"/>
            </w:tcBorders>
            <w:shd w:val="clear" w:color="auto" w:fill="auto"/>
            <w:vAlign w:val="bottom"/>
          </w:tcPr>
          <w:p w14:paraId="77643640" w14:textId="77777777" w:rsidR="00EA185F" w:rsidRPr="007003B2" w:rsidRDefault="00EA185F" w:rsidP="00EF5A7F">
            <w:pPr>
              <w:keepNext/>
              <w:keepLines/>
              <w:spacing w:before="81" w:after="81" w:line="160" w:lineRule="exact"/>
              <w:ind w:left="144" w:right="40"/>
              <w:jc w:val="right"/>
              <w:rPr>
                <w:i/>
                <w:sz w:val="14"/>
                <w:lang w:val="en-GB"/>
              </w:rPr>
            </w:pPr>
            <w:r w:rsidRPr="007003B2">
              <w:rPr>
                <w:i/>
                <w:sz w:val="14"/>
                <w:lang w:val="en-GB"/>
              </w:rPr>
              <w:t>2020 expenditure</w:t>
            </w:r>
          </w:p>
        </w:tc>
        <w:tc>
          <w:tcPr>
            <w:tcW w:w="1063" w:type="dxa"/>
            <w:tcBorders>
              <w:bottom w:val="single" w:sz="12" w:space="0" w:color="auto"/>
            </w:tcBorders>
            <w:shd w:val="clear" w:color="auto" w:fill="auto"/>
            <w:vAlign w:val="bottom"/>
          </w:tcPr>
          <w:p w14:paraId="5A8223FE" w14:textId="77777777" w:rsidR="00EA185F" w:rsidRPr="007003B2" w:rsidRDefault="00EA185F" w:rsidP="00EF5A7F">
            <w:pPr>
              <w:keepNext/>
              <w:keepLines/>
              <w:spacing w:before="81" w:after="81" w:line="160" w:lineRule="exact"/>
              <w:ind w:left="144" w:right="40"/>
              <w:jc w:val="right"/>
              <w:rPr>
                <w:i/>
                <w:sz w:val="14"/>
                <w:lang w:val="en-GB"/>
              </w:rPr>
            </w:pPr>
            <w:r w:rsidRPr="007003B2">
              <w:rPr>
                <w:i/>
                <w:sz w:val="14"/>
                <w:lang w:val="en-GB"/>
              </w:rPr>
              <w:t>2021 appropriation</w:t>
            </w:r>
          </w:p>
        </w:tc>
        <w:tc>
          <w:tcPr>
            <w:tcW w:w="1041" w:type="dxa"/>
            <w:tcBorders>
              <w:top w:val="single" w:sz="4" w:space="0" w:color="auto"/>
              <w:bottom w:val="single" w:sz="12" w:space="0" w:color="auto"/>
            </w:tcBorders>
            <w:shd w:val="clear" w:color="auto" w:fill="auto"/>
            <w:vAlign w:val="bottom"/>
          </w:tcPr>
          <w:p w14:paraId="4DABB318" w14:textId="77777777" w:rsidR="00EA185F" w:rsidRPr="007003B2" w:rsidRDefault="00EA185F" w:rsidP="00EF5A7F">
            <w:pPr>
              <w:keepNext/>
              <w:keepLines/>
              <w:spacing w:before="81" w:after="81" w:line="160" w:lineRule="exact"/>
              <w:ind w:left="144" w:right="40"/>
              <w:jc w:val="right"/>
              <w:rPr>
                <w:i/>
                <w:sz w:val="14"/>
                <w:lang w:val="en-GB"/>
              </w:rPr>
            </w:pPr>
            <w:r w:rsidRPr="007003B2">
              <w:rPr>
                <w:i/>
                <w:sz w:val="14"/>
                <w:lang w:val="en-GB"/>
              </w:rPr>
              <w:t>Technical adjustments</w:t>
            </w:r>
          </w:p>
        </w:tc>
        <w:tc>
          <w:tcPr>
            <w:tcW w:w="1016" w:type="dxa"/>
            <w:tcBorders>
              <w:top w:val="single" w:sz="4" w:space="0" w:color="auto"/>
              <w:bottom w:val="single" w:sz="12" w:space="0" w:color="auto"/>
            </w:tcBorders>
            <w:shd w:val="clear" w:color="auto" w:fill="auto"/>
            <w:vAlign w:val="bottom"/>
          </w:tcPr>
          <w:p w14:paraId="4F02882B" w14:textId="77777777" w:rsidR="00EA185F" w:rsidRPr="007003B2" w:rsidRDefault="00EA185F" w:rsidP="00EF5A7F">
            <w:pPr>
              <w:keepNext/>
              <w:keepLines/>
              <w:spacing w:before="81" w:after="81" w:line="160" w:lineRule="exact"/>
              <w:ind w:left="144" w:right="40"/>
              <w:jc w:val="right"/>
              <w:rPr>
                <w:i/>
                <w:sz w:val="14"/>
                <w:lang w:val="en-GB"/>
              </w:rPr>
            </w:pPr>
            <w:r w:rsidRPr="007003B2">
              <w:rPr>
                <w:i/>
                <w:sz w:val="14"/>
                <w:lang w:val="en-GB"/>
              </w:rPr>
              <w:t>New/ expanded mandates</w:t>
            </w:r>
          </w:p>
        </w:tc>
        <w:tc>
          <w:tcPr>
            <w:tcW w:w="711" w:type="dxa"/>
            <w:tcBorders>
              <w:top w:val="single" w:sz="4" w:space="0" w:color="auto"/>
              <w:bottom w:val="single" w:sz="12" w:space="0" w:color="auto"/>
            </w:tcBorders>
            <w:shd w:val="clear" w:color="auto" w:fill="auto"/>
            <w:vAlign w:val="bottom"/>
          </w:tcPr>
          <w:p w14:paraId="2F2EBB67" w14:textId="77777777" w:rsidR="00EA185F" w:rsidRPr="007003B2" w:rsidRDefault="00EA185F" w:rsidP="00EF5A7F">
            <w:pPr>
              <w:keepNext/>
              <w:keepLines/>
              <w:spacing w:before="81" w:after="81" w:line="160" w:lineRule="exact"/>
              <w:ind w:left="144" w:right="40"/>
              <w:jc w:val="right"/>
              <w:rPr>
                <w:i/>
                <w:sz w:val="14"/>
                <w:lang w:val="en-GB"/>
              </w:rPr>
            </w:pPr>
            <w:r w:rsidRPr="007003B2">
              <w:rPr>
                <w:i/>
                <w:sz w:val="14"/>
                <w:lang w:val="en-GB"/>
              </w:rPr>
              <w:t>Other</w:t>
            </w:r>
          </w:p>
        </w:tc>
        <w:tc>
          <w:tcPr>
            <w:tcW w:w="690" w:type="dxa"/>
            <w:tcBorders>
              <w:top w:val="single" w:sz="4" w:space="0" w:color="auto"/>
              <w:bottom w:val="single" w:sz="12" w:space="0" w:color="auto"/>
            </w:tcBorders>
            <w:shd w:val="clear" w:color="auto" w:fill="auto"/>
            <w:vAlign w:val="bottom"/>
          </w:tcPr>
          <w:p w14:paraId="2ED839D5" w14:textId="77777777" w:rsidR="00EA185F" w:rsidRPr="007003B2" w:rsidRDefault="00EA185F" w:rsidP="00EF5A7F">
            <w:pPr>
              <w:keepNext/>
              <w:keepLines/>
              <w:spacing w:before="81" w:after="81" w:line="160" w:lineRule="exact"/>
              <w:ind w:left="144" w:right="40"/>
              <w:jc w:val="right"/>
              <w:rPr>
                <w:i/>
                <w:sz w:val="14"/>
                <w:lang w:val="en-GB"/>
              </w:rPr>
            </w:pPr>
            <w:r w:rsidRPr="007003B2">
              <w:rPr>
                <w:i/>
                <w:sz w:val="14"/>
                <w:lang w:val="en-GB"/>
              </w:rPr>
              <w:t>Total</w:t>
            </w:r>
          </w:p>
        </w:tc>
        <w:tc>
          <w:tcPr>
            <w:tcW w:w="993" w:type="dxa"/>
            <w:tcBorders>
              <w:top w:val="single" w:sz="4" w:space="0" w:color="auto"/>
              <w:bottom w:val="single" w:sz="12" w:space="0" w:color="auto"/>
            </w:tcBorders>
            <w:shd w:val="clear" w:color="auto" w:fill="auto"/>
            <w:vAlign w:val="bottom"/>
          </w:tcPr>
          <w:p w14:paraId="382F6AEF" w14:textId="77777777" w:rsidR="00EA185F" w:rsidRPr="007003B2" w:rsidRDefault="00EA185F" w:rsidP="00EF5A7F">
            <w:pPr>
              <w:keepNext/>
              <w:keepLines/>
              <w:spacing w:before="81" w:after="81" w:line="160" w:lineRule="exact"/>
              <w:ind w:left="144" w:right="40"/>
              <w:jc w:val="right"/>
              <w:rPr>
                <w:i/>
                <w:sz w:val="14"/>
                <w:lang w:val="en-GB"/>
              </w:rPr>
            </w:pPr>
            <w:r w:rsidRPr="007003B2">
              <w:rPr>
                <w:i/>
                <w:sz w:val="14"/>
                <w:lang w:val="en-GB"/>
              </w:rPr>
              <w:t>Percentage</w:t>
            </w:r>
          </w:p>
        </w:tc>
        <w:tc>
          <w:tcPr>
            <w:tcW w:w="912" w:type="dxa"/>
            <w:vMerge/>
            <w:tcBorders>
              <w:bottom w:val="single" w:sz="12" w:space="0" w:color="auto"/>
            </w:tcBorders>
            <w:shd w:val="clear" w:color="auto" w:fill="auto"/>
            <w:vAlign w:val="bottom"/>
          </w:tcPr>
          <w:p w14:paraId="0E262267" w14:textId="77777777" w:rsidR="00EA185F" w:rsidRPr="007003B2" w:rsidRDefault="00EA185F" w:rsidP="00EF5A7F">
            <w:pPr>
              <w:keepNext/>
              <w:keepLines/>
              <w:spacing w:before="81" w:after="81" w:line="160" w:lineRule="exact"/>
              <w:ind w:left="144" w:right="40"/>
              <w:jc w:val="right"/>
              <w:rPr>
                <w:i/>
                <w:sz w:val="14"/>
                <w:lang w:val="en-GB"/>
              </w:rPr>
            </w:pPr>
          </w:p>
        </w:tc>
      </w:tr>
      <w:tr w:rsidR="00EA185F" w:rsidRPr="007003B2" w14:paraId="0B5001C5" w14:textId="77777777" w:rsidTr="00EF5A7F">
        <w:trPr>
          <w:trHeight w:hRule="exact" w:val="115"/>
          <w:tblHeader/>
        </w:trPr>
        <w:tc>
          <w:tcPr>
            <w:tcW w:w="2358" w:type="dxa"/>
            <w:tcBorders>
              <w:top w:val="single" w:sz="12" w:space="0" w:color="auto"/>
            </w:tcBorders>
            <w:shd w:val="clear" w:color="auto" w:fill="auto"/>
            <w:vAlign w:val="bottom"/>
          </w:tcPr>
          <w:p w14:paraId="41EE7554" w14:textId="77777777" w:rsidR="00EA185F" w:rsidRPr="007003B2" w:rsidRDefault="00EA185F" w:rsidP="00EF5A7F">
            <w:pPr>
              <w:keepNext/>
              <w:keepLines/>
              <w:spacing w:before="40" w:after="40" w:line="210" w:lineRule="exact"/>
              <w:ind w:right="40"/>
              <w:rPr>
                <w:sz w:val="17"/>
                <w:lang w:val="en-GB"/>
              </w:rPr>
            </w:pPr>
          </w:p>
        </w:tc>
        <w:tc>
          <w:tcPr>
            <w:tcW w:w="1062" w:type="dxa"/>
            <w:tcBorders>
              <w:top w:val="single" w:sz="12" w:space="0" w:color="auto"/>
            </w:tcBorders>
            <w:shd w:val="clear" w:color="auto" w:fill="auto"/>
            <w:vAlign w:val="bottom"/>
          </w:tcPr>
          <w:p w14:paraId="7417FF23" w14:textId="77777777" w:rsidR="00EA185F" w:rsidRPr="007003B2" w:rsidRDefault="00EA185F" w:rsidP="00EF5A7F">
            <w:pPr>
              <w:keepNext/>
              <w:keepLines/>
              <w:spacing w:before="40" w:after="40" w:line="210" w:lineRule="exact"/>
              <w:ind w:left="144" w:right="40"/>
              <w:jc w:val="right"/>
              <w:rPr>
                <w:sz w:val="17"/>
                <w:lang w:val="en-GB"/>
              </w:rPr>
            </w:pPr>
          </w:p>
        </w:tc>
        <w:tc>
          <w:tcPr>
            <w:tcW w:w="1063" w:type="dxa"/>
            <w:tcBorders>
              <w:top w:val="single" w:sz="12" w:space="0" w:color="auto"/>
            </w:tcBorders>
            <w:shd w:val="clear" w:color="auto" w:fill="auto"/>
            <w:vAlign w:val="bottom"/>
          </w:tcPr>
          <w:p w14:paraId="57A3E9EF" w14:textId="77777777" w:rsidR="00EA185F" w:rsidRPr="007003B2" w:rsidRDefault="00EA185F" w:rsidP="00EF5A7F">
            <w:pPr>
              <w:keepNext/>
              <w:keepLines/>
              <w:spacing w:before="40" w:after="40" w:line="210" w:lineRule="exact"/>
              <w:ind w:left="144" w:right="40"/>
              <w:jc w:val="right"/>
              <w:rPr>
                <w:sz w:val="17"/>
                <w:lang w:val="en-GB"/>
              </w:rPr>
            </w:pPr>
          </w:p>
        </w:tc>
        <w:tc>
          <w:tcPr>
            <w:tcW w:w="1041" w:type="dxa"/>
            <w:tcBorders>
              <w:top w:val="single" w:sz="12" w:space="0" w:color="auto"/>
            </w:tcBorders>
            <w:shd w:val="clear" w:color="auto" w:fill="auto"/>
            <w:vAlign w:val="bottom"/>
          </w:tcPr>
          <w:p w14:paraId="4652585B" w14:textId="77777777" w:rsidR="00EA185F" w:rsidRPr="007003B2" w:rsidRDefault="00EA185F" w:rsidP="00EF5A7F">
            <w:pPr>
              <w:keepNext/>
              <w:keepLines/>
              <w:spacing w:before="40" w:after="40" w:line="210" w:lineRule="exact"/>
              <w:ind w:left="144" w:right="40"/>
              <w:jc w:val="right"/>
              <w:rPr>
                <w:sz w:val="17"/>
                <w:lang w:val="en-GB"/>
              </w:rPr>
            </w:pPr>
          </w:p>
        </w:tc>
        <w:tc>
          <w:tcPr>
            <w:tcW w:w="1016" w:type="dxa"/>
            <w:tcBorders>
              <w:top w:val="single" w:sz="12" w:space="0" w:color="auto"/>
            </w:tcBorders>
            <w:shd w:val="clear" w:color="auto" w:fill="auto"/>
            <w:vAlign w:val="bottom"/>
          </w:tcPr>
          <w:p w14:paraId="60146F6D" w14:textId="77777777" w:rsidR="00EA185F" w:rsidRPr="007003B2" w:rsidRDefault="00EA185F" w:rsidP="00EF5A7F">
            <w:pPr>
              <w:keepNext/>
              <w:keepLines/>
              <w:spacing w:before="40" w:after="40" w:line="210" w:lineRule="exact"/>
              <w:ind w:left="144" w:right="40"/>
              <w:jc w:val="right"/>
              <w:rPr>
                <w:sz w:val="17"/>
                <w:lang w:val="en-GB"/>
              </w:rPr>
            </w:pPr>
          </w:p>
        </w:tc>
        <w:tc>
          <w:tcPr>
            <w:tcW w:w="711" w:type="dxa"/>
            <w:tcBorders>
              <w:top w:val="single" w:sz="12" w:space="0" w:color="auto"/>
            </w:tcBorders>
            <w:shd w:val="clear" w:color="auto" w:fill="auto"/>
            <w:vAlign w:val="bottom"/>
          </w:tcPr>
          <w:p w14:paraId="0B0396AC" w14:textId="77777777" w:rsidR="00EA185F" w:rsidRPr="007003B2" w:rsidRDefault="00EA185F" w:rsidP="00EF5A7F">
            <w:pPr>
              <w:keepNext/>
              <w:keepLines/>
              <w:spacing w:before="40" w:after="40" w:line="210" w:lineRule="exact"/>
              <w:ind w:left="144" w:right="40"/>
              <w:jc w:val="right"/>
              <w:rPr>
                <w:sz w:val="17"/>
                <w:lang w:val="en-GB"/>
              </w:rPr>
            </w:pPr>
          </w:p>
        </w:tc>
        <w:tc>
          <w:tcPr>
            <w:tcW w:w="690" w:type="dxa"/>
            <w:tcBorders>
              <w:top w:val="single" w:sz="12" w:space="0" w:color="auto"/>
            </w:tcBorders>
            <w:shd w:val="clear" w:color="auto" w:fill="auto"/>
            <w:vAlign w:val="bottom"/>
          </w:tcPr>
          <w:p w14:paraId="23B7F172" w14:textId="77777777" w:rsidR="00EA185F" w:rsidRPr="007003B2" w:rsidRDefault="00EA185F" w:rsidP="00EF5A7F">
            <w:pPr>
              <w:keepNext/>
              <w:keepLines/>
              <w:spacing w:before="40" w:after="40" w:line="210" w:lineRule="exact"/>
              <w:ind w:left="144" w:right="40"/>
              <w:jc w:val="right"/>
              <w:rPr>
                <w:sz w:val="17"/>
                <w:lang w:val="en-GB"/>
              </w:rPr>
            </w:pPr>
          </w:p>
        </w:tc>
        <w:tc>
          <w:tcPr>
            <w:tcW w:w="993" w:type="dxa"/>
            <w:tcBorders>
              <w:top w:val="single" w:sz="12" w:space="0" w:color="auto"/>
            </w:tcBorders>
            <w:shd w:val="clear" w:color="auto" w:fill="auto"/>
            <w:vAlign w:val="bottom"/>
          </w:tcPr>
          <w:p w14:paraId="62B6554A" w14:textId="77777777" w:rsidR="00EA185F" w:rsidRPr="007003B2" w:rsidRDefault="00EA185F" w:rsidP="00EF5A7F">
            <w:pPr>
              <w:keepNext/>
              <w:keepLines/>
              <w:spacing w:before="40" w:after="40" w:line="210" w:lineRule="exact"/>
              <w:ind w:left="144" w:right="40"/>
              <w:jc w:val="right"/>
              <w:rPr>
                <w:sz w:val="17"/>
                <w:lang w:val="en-GB"/>
              </w:rPr>
            </w:pPr>
          </w:p>
        </w:tc>
        <w:tc>
          <w:tcPr>
            <w:tcW w:w="912" w:type="dxa"/>
            <w:tcBorders>
              <w:top w:val="single" w:sz="12" w:space="0" w:color="auto"/>
            </w:tcBorders>
            <w:shd w:val="clear" w:color="auto" w:fill="auto"/>
            <w:vAlign w:val="bottom"/>
          </w:tcPr>
          <w:p w14:paraId="07F2DE8A" w14:textId="77777777" w:rsidR="00EA185F" w:rsidRPr="007003B2" w:rsidRDefault="00EA185F" w:rsidP="00EF5A7F">
            <w:pPr>
              <w:keepNext/>
              <w:keepLines/>
              <w:spacing w:before="40" w:after="40" w:line="210" w:lineRule="exact"/>
              <w:ind w:left="144" w:right="40"/>
              <w:jc w:val="right"/>
              <w:rPr>
                <w:sz w:val="17"/>
                <w:lang w:val="en-GB"/>
              </w:rPr>
            </w:pPr>
          </w:p>
        </w:tc>
      </w:tr>
      <w:tr w:rsidR="00EA185F" w:rsidRPr="007003B2" w14:paraId="6D386EE2" w14:textId="77777777" w:rsidTr="00EF5A7F">
        <w:tc>
          <w:tcPr>
            <w:tcW w:w="9846" w:type="dxa"/>
            <w:gridSpan w:val="9"/>
            <w:shd w:val="clear" w:color="auto" w:fill="auto"/>
            <w:vAlign w:val="bottom"/>
          </w:tcPr>
          <w:p w14:paraId="1760876F" w14:textId="77777777" w:rsidR="00EA185F" w:rsidRPr="007003B2" w:rsidRDefault="00EA185F" w:rsidP="00EF5A7F">
            <w:pPr>
              <w:keepNext/>
              <w:keepLines/>
              <w:tabs>
                <w:tab w:val="left" w:pos="288"/>
                <w:tab w:val="left" w:pos="576"/>
                <w:tab w:val="left" w:pos="864"/>
                <w:tab w:val="left" w:pos="1152"/>
              </w:tabs>
              <w:spacing w:before="40" w:after="40" w:line="210" w:lineRule="exact"/>
              <w:ind w:right="40"/>
              <w:rPr>
                <w:b/>
                <w:bCs/>
                <w:sz w:val="17"/>
                <w:lang w:val="en-GB"/>
              </w:rPr>
            </w:pPr>
            <w:r w:rsidRPr="007003B2">
              <w:rPr>
                <w:b/>
                <w:bCs/>
                <w:sz w:val="17"/>
                <w:lang w:val="en-GB"/>
              </w:rPr>
              <w:t>Financial resources by main category of expenditure</w:t>
            </w:r>
          </w:p>
        </w:tc>
      </w:tr>
      <w:tr w:rsidR="00EA185F" w:rsidRPr="007003B2" w14:paraId="32843DFF" w14:textId="77777777" w:rsidTr="00EF5A7F">
        <w:tc>
          <w:tcPr>
            <w:tcW w:w="2358" w:type="dxa"/>
            <w:shd w:val="clear" w:color="auto" w:fill="auto"/>
            <w:vAlign w:val="bottom"/>
          </w:tcPr>
          <w:p w14:paraId="2902D1D5" w14:textId="77777777" w:rsidR="00EA185F" w:rsidRPr="007003B2" w:rsidRDefault="00EA185F" w:rsidP="00EF5A7F">
            <w:pPr>
              <w:keepNext/>
              <w:keepLines/>
              <w:tabs>
                <w:tab w:val="left" w:pos="288"/>
                <w:tab w:val="left" w:pos="576"/>
                <w:tab w:val="left" w:pos="864"/>
                <w:tab w:val="left" w:pos="1152"/>
              </w:tabs>
              <w:spacing w:before="40" w:after="40" w:line="210" w:lineRule="exact"/>
              <w:ind w:right="40"/>
              <w:rPr>
                <w:sz w:val="17"/>
                <w:lang w:val="en-GB"/>
              </w:rPr>
            </w:pPr>
            <w:r w:rsidRPr="007003B2">
              <w:rPr>
                <w:sz w:val="17"/>
                <w:lang w:val="en-GB"/>
              </w:rPr>
              <w:t>Post</w:t>
            </w:r>
          </w:p>
        </w:tc>
        <w:tc>
          <w:tcPr>
            <w:tcW w:w="1062" w:type="dxa"/>
            <w:shd w:val="clear" w:color="auto" w:fill="auto"/>
            <w:vAlign w:val="bottom"/>
          </w:tcPr>
          <w:p w14:paraId="6C38AA6C" w14:textId="77777777" w:rsidR="00EA185F" w:rsidRPr="007003B2" w:rsidRDefault="00EA185F" w:rsidP="00EF5A7F">
            <w:pPr>
              <w:keepNext/>
              <w:keepLines/>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2 788.3</w:t>
            </w:r>
          </w:p>
        </w:tc>
        <w:tc>
          <w:tcPr>
            <w:tcW w:w="1063" w:type="dxa"/>
            <w:shd w:val="clear" w:color="auto" w:fill="auto"/>
            <w:vAlign w:val="bottom"/>
          </w:tcPr>
          <w:p w14:paraId="54EEED77" w14:textId="77777777" w:rsidR="00EA185F" w:rsidRPr="007003B2" w:rsidRDefault="00EA185F" w:rsidP="00EF5A7F">
            <w:pPr>
              <w:keepNext/>
              <w:keepLines/>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2 036.3</w:t>
            </w:r>
          </w:p>
        </w:tc>
        <w:tc>
          <w:tcPr>
            <w:tcW w:w="1041" w:type="dxa"/>
            <w:shd w:val="clear" w:color="auto" w:fill="auto"/>
            <w:vAlign w:val="bottom"/>
          </w:tcPr>
          <w:p w14:paraId="6D18CE5C" w14:textId="77777777" w:rsidR="00EA185F" w:rsidRPr="007003B2" w:rsidRDefault="00EA185F" w:rsidP="00EF5A7F">
            <w:pPr>
              <w:keepNext/>
              <w:keepLines/>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1016" w:type="dxa"/>
            <w:shd w:val="clear" w:color="auto" w:fill="auto"/>
            <w:vAlign w:val="bottom"/>
          </w:tcPr>
          <w:p w14:paraId="6BB1A158" w14:textId="77777777" w:rsidR="00EA185F" w:rsidRPr="007003B2" w:rsidRDefault="00EA185F" w:rsidP="00EF5A7F">
            <w:pPr>
              <w:keepNext/>
              <w:keepLines/>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711" w:type="dxa"/>
            <w:shd w:val="clear" w:color="auto" w:fill="auto"/>
            <w:vAlign w:val="bottom"/>
          </w:tcPr>
          <w:p w14:paraId="1887ABFA" w14:textId="77777777" w:rsidR="00EA185F" w:rsidRPr="007003B2" w:rsidRDefault="00EA185F" w:rsidP="00EF5A7F">
            <w:pPr>
              <w:keepNext/>
              <w:keepLines/>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690" w:type="dxa"/>
            <w:shd w:val="clear" w:color="auto" w:fill="auto"/>
            <w:vAlign w:val="bottom"/>
          </w:tcPr>
          <w:p w14:paraId="27DD44CD" w14:textId="77777777" w:rsidR="00EA185F" w:rsidRPr="007003B2" w:rsidRDefault="00EA185F" w:rsidP="00EF5A7F">
            <w:pPr>
              <w:keepNext/>
              <w:keepLines/>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93" w:type="dxa"/>
            <w:shd w:val="clear" w:color="auto" w:fill="auto"/>
            <w:vAlign w:val="bottom"/>
          </w:tcPr>
          <w:p w14:paraId="6EA5420A" w14:textId="77777777" w:rsidR="00EA185F" w:rsidRPr="007003B2" w:rsidRDefault="00EA185F" w:rsidP="00EF5A7F">
            <w:pPr>
              <w:keepNext/>
              <w:keepLines/>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12" w:type="dxa"/>
            <w:shd w:val="clear" w:color="auto" w:fill="auto"/>
            <w:vAlign w:val="bottom"/>
          </w:tcPr>
          <w:p w14:paraId="54E3641B" w14:textId="77777777" w:rsidR="00EA185F" w:rsidRPr="007003B2" w:rsidRDefault="00EA185F" w:rsidP="00EF5A7F">
            <w:pPr>
              <w:keepNext/>
              <w:keepLines/>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 xml:space="preserve">2 036.3 </w:t>
            </w:r>
          </w:p>
        </w:tc>
      </w:tr>
      <w:tr w:rsidR="00EA185F" w:rsidRPr="007003B2" w14:paraId="6115FC8E" w14:textId="77777777" w:rsidTr="00EF5A7F">
        <w:tc>
          <w:tcPr>
            <w:tcW w:w="2358" w:type="dxa"/>
            <w:tcBorders>
              <w:bottom w:val="single" w:sz="4" w:space="0" w:color="auto"/>
            </w:tcBorders>
            <w:shd w:val="clear" w:color="auto" w:fill="auto"/>
            <w:vAlign w:val="bottom"/>
          </w:tcPr>
          <w:p w14:paraId="164B1F7A" w14:textId="77777777" w:rsidR="00EA185F" w:rsidRPr="007003B2" w:rsidRDefault="00EA185F" w:rsidP="00206464">
            <w:pPr>
              <w:tabs>
                <w:tab w:val="left" w:pos="288"/>
                <w:tab w:val="left" w:pos="576"/>
                <w:tab w:val="left" w:pos="864"/>
                <w:tab w:val="left" w:pos="1152"/>
              </w:tabs>
              <w:spacing w:before="40" w:after="81" w:line="210" w:lineRule="exact"/>
              <w:ind w:right="40"/>
              <w:rPr>
                <w:sz w:val="17"/>
                <w:lang w:val="en-GB"/>
              </w:rPr>
            </w:pPr>
            <w:r w:rsidRPr="007003B2">
              <w:rPr>
                <w:sz w:val="17"/>
                <w:lang w:val="en-GB"/>
              </w:rPr>
              <w:t>Non-post</w:t>
            </w:r>
          </w:p>
        </w:tc>
        <w:tc>
          <w:tcPr>
            <w:tcW w:w="1062" w:type="dxa"/>
            <w:tcBorders>
              <w:bottom w:val="single" w:sz="4" w:space="0" w:color="auto"/>
            </w:tcBorders>
            <w:shd w:val="clear" w:color="auto" w:fill="auto"/>
            <w:vAlign w:val="bottom"/>
          </w:tcPr>
          <w:p w14:paraId="5B035BDE"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140.1</w:t>
            </w:r>
          </w:p>
        </w:tc>
        <w:tc>
          <w:tcPr>
            <w:tcW w:w="1063" w:type="dxa"/>
            <w:tcBorders>
              <w:bottom w:val="single" w:sz="4" w:space="0" w:color="auto"/>
            </w:tcBorders>
            <w:shd w:val="clear" w:color="auto" w:fill="auto"/>
            <w:vAlign w:val="bottom"/>
          </w:tcPr>
          <w:p w14:paraId="2AE8379B"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212.2</w:t>
            </w:r>
          </w:p>
        </w:tc>
        <w:tc>
          <w:tcPr>
            <w:tcW w:w="1041" w:type="dxa"/>
            <w:tcBorders>
              <w:bottom w:val="single" w:sz="4" w:space="0" w:color="auto"/>
            </w:tcBorders>
            <w:shd w:val="clear" w:color="auto" w:fill="auto"/>
            <w:vAlign w:val="bottom"/>
          </w:tcPr>
          <w:p w14:paraId="29A9F4A0"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1016" w:type="dxa"/>
            <w:tcBorders>
              <w:bottom w:val="single" w:sz="4" w:space="0" w:color="auto"/>
            </w:tcBorders>
            <w:shd w:val="clear" w:color="auto" w:fill="auto"/>
            <w:vAlign w:val="bottom"/>
          </w:tcPr>
          <w:p w14:paraId="781A6441"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145.0</w:t>
            </w:r>
          </w:p>
        </w:tc>
        <w:tc>
          <w:tcPr>
            <w:tcW w:w="711" w:type="dxa"/>
            <w:tcBorders>
              <w:bottom w:val="single" w:sz="4" w:space="0" w:color="auto"/>
            </w:tcBorders>
            <w:shd w:val="clear" w:color="auto" w:fill="auto"/>
            <w:vAlign w:val="bottom"/>
          </w:tcPr>
          <w:p w14:paraId="2785126B"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43.8</w:t>
            </w:r>
          </w:p>
        </w:tc>
        <w:tc>
          <w:tcPr>
            <w:tcW w:w="690" w:type="dxa"/>
            <w:tcBorders>
              <w:bottom w:val="single" w:sz="4" w:space="0" w:color="auto"/>
            </w:tcBorders>
            <w:shd w:val="clear" w:color="auto" w:fill="auto"/>
            <w:vAlign w:val="bottom"/>
          </w:tcPr>
          <w:p w14:paraId="37204FA4"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188.8</w:t>
            </w:r>
          </w:p>
        </w:tc>
        <w:tc>
          <w:tcPr>
            <w:tcW w:w="993" w:type="dxa"/>
            <w:tcBorders>
              <w:bottom w:val="single" w:sz="4" w:space="0" w:color="auto"/>
            </w:tcBorders>
            <w:shd w:val="clear" w:color="auto" w:fill="auto"/>
            <w:vAlign w:val="bottom"/>
          </w:tcPr>
          <w:p w14:paraId="6D9C05F7"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89.0</w:t>
            </w:r>
          </w:p>
        </w:tc>
        <w:tc>
          <w:tcPr>
            <w:tcW w:w="912" w:type="dxa"/>
            <w:tcBorders>
              <w:bottom w:val="single" w:sz="4" w:space="0" w:color="auto"/>
            </w:tcBorders>
            <w:shd w:val="clear" w:color="auto" w:fill="auto"/>
            <w:vAlign w:val="bottom"/>
          </w:tcPr>
          <w:p w14:paraId="159DC833"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401.0</w:t>
            </w:r>
          </w:p>
        </w:tc>
      </w:tr>
      <w:tr w:rsidR="00EA185F" w:rsidRPr="007003B2" w14:paraId="0FAA7C3F" w14:textId="77777777" w:rsidTr="00EF5A7F">
        <w:tc>
          <w:tcPr>
            <w:tcW w:w="2358" w:type="dxa"/>
            <w:tcBorders>
              <w:top w:val="single" w:sz="4" w:space="0" w:color="auto"/>
              <w:bottom w:val="single" w:sz="4" w:space="0" w:color="auto"/>
            </w:tcBorders>
            <w:shd w:val="clear" w:color="auto" w:fill="auto"/>
            <w:vAlign w:val="bottom"/>
          </w:tcPr>
          <w:p w14:paraId="2386BDFC" w14:textId="77777777" w:rsidR="00EA185F" w:rsidRPr="007003B2" w:rsidRDefault="00EA185F" w:rsidP="00206464">
            <w:pPr>
              <w:tabs>
                <w:tab w:val="left" w:pos="288"/>
                <w:tab w:val="left" w:pos="576"/>
                <w:tab w:val="left" w:pos="864"/>
                <w:tab w:val="left" w:pos="1152"/>
              </w:tabs>
              <w:spacing w:before="81" w:after="81" w:line="210" w:lineRule="exact"/>
              <w:ind w:left="288" w:right="43"/>
              <w:rPr>
                <w:b/>
                <w:sz w:val="17"/>
                <w:lang w:val="en-GB"/>
              </w:rPr>
            </w:pPr>
            <w:r w:rsidRPr="007003B2">
              <w:rPr>
                <w:b/>
                <w:sz w:val="17"/>
                <w:lang w:val="en-GB"/>
              </w:rPr>
              <w:t>Total</w:t>
            </w:r>
          </w:p>
        </w:tc>
        <w:tc>
          <w:tcPr>
            <w:tcW w:w="1062" w:type="dxa"/>
            <w:tcBorders>
              <w:top w:val="single" w:sz="4" w:space="0" w:color="auto"/>
              <w:bottom w:val="single" w:sz="4" w:space="0" w:color="auto"/>
            </w:tcBorders>
            <w:shd w:val="clear" w:color="auto" w:fill="auto"/>
            <w:vAlign w:val="bottom"/>
          </w:tcPr>
          <w:p w14:paraId="033343B1"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2 928.4</w:t>
            </w:r>
          </w:p>
        </w:tc>
        <w:tc>
          <w:tcPr>
            <w:tcW w:w="1063" w:type="dxa"/>
            <w:tcBorders>
              <w:top w:val="single" w:sz="4" w:space="0" w:color="auto"/>
              <w:bottom w:val="single" w:sz="4" w:space="0" w:color="auto"/>
            </w:tcBorders>
            <w:shd w:val="clear" w:color="auto" w:fill="auto"/>
            <w:vAlign w:val="bottom"/>
          </w:tcPr>
          <w:p w14:paraId="60B89A4A"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2 248.5</w:t>
            </w:r>
          </w:p>
        </w:tc>
        <w:tc>
          <w:tcPr>
            <w:tcW w:w="1041" w:type="dxa"/>
            <w:tcBorders>
              <w:top w:val="single" w:sz="4" w:space="0" w:color="auto"/>
              <w:bottom w:val="single" w:sz="4" w:space="0" w:color="auto"/>
            </w:tcBorders>
            <w:shd w:val="clear" w:color="auto" w:fill="auto"/>
            <w:vAlign w:val="bottom"/>
          </w:tcPr>
          <w:p w14:paraId="2504038B"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1016" w:type="dxa"/>
            <w:tcBorders>
              <w:top w:val="single" w:sz="4" w:space="0" w:color="auto"/>
              <w:bottom w:val="single" w:sz="4" w:space="0" w:color="auto"/>
            </w:tcBorders>
            <w:shd w:val="clear" w:color="auto" w:fill="auto"/>
            <w:vAlign w:val="bottom"/>
          </w:tcPr>
          <w:p w14:paraId="2608C33D"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145.0</w:t>
            </w:r>
          </w:p>
        </w:tc>
        <w:tc>
          <w:tcPr>
            <w:tcW w:w="711" w:type="dxa"/>
            <w:tcBorders>
              <w:top w:val="single" w:sz="4" w:space="0" w:color="auto"/>
              <w:bottom w:val="single" w:sz="4" w:space="0" w:color="auto"/>
            </w:tcBorders>
            <w:shd w:val="clear" w:color="auto" w:fill="auto"/>
            <w:vAlign w:val="bottom"/>
          </w:tcPr>
          <w:p w14:paraId="3936C989"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43.8</w:t>
            </w:r>
          </w:p>
        </w:tc>
        <w:tc>
          <w:tcPr>
            <w:tcW w:w="690" w:type="dxa"/>
            <w:tcBorders>
              <w:top w:val="single" w:sz="4" w:space="0" w:color="auto"/>
              <w:bottom w:val="single" w:sz="4" w:space="0" w:color="auto"/>
            </w:tcBorders>
            <w:shd w:val="clear" w:color="auto" w:fill="auto"/>
            <w:vAlign w:val="bottom"/>
          </w:tcPr>
          <w:p w14:paraId="05DE6676"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188.8</w:t>
            </w:r>
          </w:p>
        </w:tc>
        <w:tc>
          <w:tcPr>
            <w:tcW w:w="993" w:type="dxa"/>
            <w:tcBorders>
              <w:top w:val="single" w:sz="4" w:space="0" w:color="auto"/>
              <w:bottom w:val="single" w:sz="4" w:space="0" w:color="auto"/>
            </w:tcBorders>
            <w:shd w:val="clear" w:color="auto" w:fill="auto"/>
            <w:vAlign w:val="bottom"/>
          </w:tcPr>
          <w:p w14:paraId="400D809A"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8.4</w:t>
            </w:r>
          </w:p>
        </w:tc>
        <w:tc>
          <w:tcPr>
            <w:tcW w:w="912" w:type="dxa"/>
            <w:tcBorders>
              <w:top w:val="single" w:sz="4" w:space="0" w:color="auto"/>
              <w:bottom w:val="single" w:sz="4" w:space="0" w:color="auto"/>
            </w:tcBorders>
            <w:shd w:val="clear" w:color="auto" w:fill="auto"/>
            <w:vAlign w:val="bottom"/>
          </w:tcPr>
          <w:p w14:paraId="610B7593"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2 437.3</w:t>
            </w:r>
          </w:p>
        </w:tc>
      </w:tr>
      <w:tr w:rsidR="00EA185F" w:rsidRPr="007003B2" w14:paraId="68D6FD9D" w14:textId="77777777" w:rsidTr="00EF5A7F">
        <w:tc>
          <w:tcPr>
            <w:tcW w:w="9846" w:type="dxa"/>
            <w:gridSpan w:val="9"/>
            <w:tcBorders>
              <w:top w:val="single" w:sz="4" w:space="0" w:color="auto"/>
            </w:tcBorders>
            <w:shd w:val="clear" w:color="auto" w:fill="auto"/>
            <w:vAlign w:val="bottom"/>
          </w:tcPr>
          <w:p w14:paraId="1A6D2952" w14:textId="77777777" w:rsidR="00EA185F" w:rsidRPr="007003B2" w:rsidRDefault="00EA185F" w:rsidP="00206464">
            <w:pPr>
              <w:tabs>
                <w:tab w:val="left" w:pos="288"/>
                <w:tab w:val="left" w:pos="576"/>
                <w:tab w:val="left" w:pos="864"/>
                <w:tab w:val="left" w:pos="1152"/>
              </w:tabs>
              <w:spacing w:before="81" w:after="40" w:line="210" w:lineRule="exact"/>
              <w:ind w:right="40"/>
              <w:rPr>
                <w:b/>
                <w:bCs/>
                <w:sz w:val="17"/>
                <w:lang w:val="en-GB"/>
              </w:rPr>
            </w:pPr>
            <w:r w:rsidRPr="007003B2">
              <w:rPr>
                <w:b/>
                <w:bCs/>
                <w:sz w:val="17"/>
                <w:lang w:val="en-GB"/>
              </w:rPr>
              <w:t>Post resources by category</w:t>
            </w:r>
          </w:p>
        </w:tc>
      </w:tr>
      <w:tr w:rsidR="00EA185F" w:rsidRPr="007003B2" w14:paraId="6C938866" w14:textId="77777777" w:rsidTr="00EF5A7F">
        <w:tc>
          <w:tcPr>
            <w:tcW w:w="2358" w:type="dxa"/>
            <w:shd w:val="clear" w:color="auto" w:fill="auto"/>
            <w:vAlign w:val="bottom"/>
          </w:tcPr>
          <w:p w14:paraId="1ACC4D2C" w14:textId="77777777" w:rsidR="00EA185F" w:rsidRPr="007003B2" w:rsidRDefault="00EA185F" w:rsidP="00206464">
            <w:pPr>
              <w:tabs>
                <w:tab w:val="left" w:pos="288"/>
                <w:tab w:val="left" w:pos="576"/>
                <w:tab w:val="left" w:pos="864"/>
                <w:tab w:val="left" w:pos="1152"/>
              </w:tabs>
              <w:spacing w:before="40" w:after="40" w:line="210" w:lineRule="exact"/>
              <w:ind w:right="40"/>
              <w:rPr>
                <w:sz w:val="17"/>
                <w:lang w:val="en-GB"/>
              </w:rPr>
            </w:pPr>
            <w:r w:rsidRPr="007003B2">
              <w:rPr>
                <w:sz w:val="17"/>
                <w:lang w:val="en-GB"/>
              </w:rPr>
              <w:t>Professional and higher</w:t>
            </w:r>
          </w:p>
        </w:tc>
        <w:tc>
          <w:tcPr>
            <w:tcW w:w="1062" w:type="dxa"/>
            <w:shd w:val="clear" w:color="auto" w:fill="auto"/>
            <w:vAlign w:val="bottom"/>
          </w:tcPr>
          <w:p w14:paraId="2AB9625C"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p>
        </w:tc>
        <w:tc>
          <w:tcPr>
            <w:tcW w:w="1063" w:type="dxa"/>
            <w:shd w:val="clear" w:color="auto" w:fill="auto"/>
            <w:vAlign w:val="bottom"/>
          </w:tcPr>
          <w:p w14:paraId="24FF20F1"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9</w:t>
            </w:r>
          </w:p>
        </w:tc>
        <w:tc>
          <w:tcPr>
            <w:tcW w:w="1041" w:type="dxa"/>
            <w:shd w:val="clear" w:color="auto" w:fill="auto"/>
            <w:vAlign w:val="bottom"/>
          </w:tcPr>
          <w:p w14:paraId="6A9F75E5"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1016" w:type="dxa"/>
            <w:shd w:val="clear" w:color="auto" w:fill="auto"/>
            <w:vAlign w:val="bottom"/>
          </w:tcPr>
          <w:p w14:paraId="027AC2D0"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711" w:type="dxa"/>
            <w:shd w:val="clear" w:color="auto" w:fill="auto"/>
            <w:vAlign w:val="bottom"/>
          </w:tcPr>
          <w:p w14:paraId="3A905944"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690" w:type="dxa"/>
            <w:shd w:val="clear" w:color="auto" w:fill="auto"/>
            <w:vAlign w:val="bottom"/>
          </w:tcPr>
          <w:p w14:paraId="4EBD45EB"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93" w:type="dxa"/>
            <w:shd w:val="clear" w:color="auto" w:fill="auto"/>
            <w:vAlign w:val="bottom"/>
          </w:tcPr>
          <w:p w14:paraId="4E302C66"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12" w:type="dxa"/>
            <w:shd w:val="clear" w:color="auto" w:fill="auto"/>
            <w:vAlign w:val="bottom"/>
          </w:tcPr>
          <w:p w14:paraId="292431B4"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 xml:space="preserve">9 </w:t>
            </w:r>
          </w:p>
        </w:tc>
      </w:tr>
      <w:tr w:rsidR="00EA185F" w:rsidRPr="007003B2" w14:paraId="6F972101" w14:textId="77777777" w:rsidTr="00EF5A7F">
        <w:tc>
          <w:tcPr>
            <w:tcW w:w="2358" w:type="dxa"/>
            <w:tcBorders>
              <w:bottom w:val="single" w:sz="4" w:space="0" w:color="auto"/>
            </w:tcBorders>
            <w:shd w:val="clear" w:color="auto" w:fill="auto"/>
            <w:vAlign w:val="bottom"/>
          </w:tcPr>
          <w:p w14:paraId="72E4B23A" w14:textId="77777777" w:rsidR="00EA185F" w:rsidRPr="007003B2" w:rsidRDefault="00EA185F" w:rsidP="00206464">
            <w:pPr>
              <w:tabs>
                <w:tab w:val="left" w:pos="288"/>
                <w:tab w:val="left" w:pos="576"/>
                <w:tab w:val="left" w:pos="864"/>
                <w:tab w:val="left" w:pos="1152"/>
              </w:tabs>
              <w:spacing w:before="40" w:after="81" w:line="210" w:lineRule="exact"/>
              <w:ind w:right="40"/>
              <w:rPr>
                <w:sz w:val="17"/>
                <w:lang w:val="en-GB"/>
              </w:rPr>
            </w:pPr>
            <w:r w:rsidRPr="007003B2">
              <w:rPr>
                <w:sz w:val="17"/>
                <w:lang w:val="en-GB"/>
              </w:rPr>
              <w:t>General Service and related</w:t>
            </w:r>
          </w:p>
        </w:tc>
        <w:tc>
          <w:tcPr>
            <w:tcW w:w="1062" w:type="dxa"/>
            <w:tcBorders>
              <w:bottom w:val="single" w:sz="4" w:space="0" w:color="auto"/>
            </w:tcBorders>
            <w:shd w:val="clear" w:color="auto" w:fill="auto"/>
            <w:vAlign w:val="bottom"/>
          </w:tcPr>
          <w:p w14:paraId="4A9660F8"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p>
        </w:tc>
        <w:tc>
          <w:tcPr>
            <w:tcW w:w="1063" w:type="dxa"/>
            <w:tcBorders>
              <w:bottom w:val="single" w:sz="4" w:space="0" w:color="auto"/>
            </w:tcBorders>
            <w:shd w:val="clear" w:color="auto" w:fill="auto"/>
            <w:vAlign w:val="bottom"/>
          </w:tcPr>
          <w:p w14:paraId="0612D45A"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4</w:t>
            </w:r>
          </w:p>
        </w:tc>
        <w:tc>
          <w:tcPr>
            <w:tcW w:w="1041" w:type="dxa"/>
            <w:tcBorders>
              <w:bottom w:val="single" w:sz="4" w:space="0" w:color="auto"/>
            </w:tcBorders>
            <w:shd w:val="clear" w:color="auto" w:fill="auto"/>
            <w:vAlign w:val="bottom"/>
          </w:tcPr>
          <w:p w14:paraId="1B693466"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1016" w:type="dxa"/>
            <w:tcBorders>
              <w:bottom w:val="single" w:sz="4" w:space="0" w:color="auto"/>
            </w:tcBorders>
            <w:shd w:val="clear" w:color="auto" w:fill="auto"/>
            <w:vAlign w:val="bottom"/>
          </w:tcPr>
          <w:p w14:paraId="2E0BED45"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711" w:type="dxa"/>
            <w:tcBorders>
              <w:bottom w:val="single" w:sz="4" w:space="0" w:color="auto"/>
            </w:tcBorders>
            <w:shd w:val="clear" w:color="auto" w:fill="auto"/>
            <w:vAlign w:val="bottom"/>
          </w:tcPr>
          <w:p w14:paraId="1A9A3D18"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690" w:type="dxa"/>
            <w:tcBorders>
              <w:bottom w:val="single" w:sz="4" w:space="0" w:color="auto"/>
            </w:tcBorders>
            <w:shd w:val="clear" w:color="auto" w:fill="auto"/>
            <w:vAlign w:val="bottom"/>
          </w:tcPr>
          <w:p w14:paraId="2A269112"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93" w:type="dxa"/>
            <w:tcBorders>
              <w:bottom w:val="single" w:sz="4" w:space="0" w:color="auto"/>
            </w:tcBorders>
            <w:shd w:val="clear" w:color="auto" w:fill="auto"/>
            <w:vAlign w:val="bottom"/>
          </w:tcPr>
          <w:p w14:paraId="249820BB"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12" w:type="dxa"/>
            <w:tcBorders>
              <w:bottom w:val="single" w:sz="4" w:space="0" w:color="auto"/>
            </w:tcBorders>
            <w:shd w:val="clear" w:color="auto" w:fill="auto"/>
            <w:vAlign w:val="bottom"/>
          </w:tcPr>
          <w:p w14:paraId="7B2C5A74"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 xml:space="preserve">4 </w:t>
            </w:r>
          </w:p>
        </w:tc>
      </w:tr>
      <w:tr w:rsidR="00EA185F" w:rsidRPr="007003B2" w14:paraId="7F6CD2C3" w14:textId="77777777" w:rsidTr="00EF5A7F">
        <w:tc>
          <w:tcPr>
            <w:tcW w:w="2358" w:type="dxa"/>
            <w:tcBorders>
              <w:top w:val="single" w:sz="4" w:space="0" w:color="auto"/>
              <w:bottom w:val="single" w:sz="12" w:space="0" w:color="auto"/>
            </w:tcBorders>
            <w:shd w:val="clear" w:color="auto" w:fill="auto"/>
            <w:vAlign w:val="bottom"/>
          </w:tcPr>
          <w:p w14:paraId="13DA0FCA" w14:textId="77777777" w:rsidR="00EA185F" w:rsidRPr="007003B2" w:rsidRDefault="00EA185F" w:rsidP="00206464">
            <w:pPr>
              <w:tabs>
                <w:tab w:val="left" w:pos="288"/>
                <w:tab w:val="left" w:pos="576"/>
                <w:tab w:val="left" w:pos="864"/>
                <w:tab w:val="left" w:pos="1152"/>
              </w:tabs>
              <w:spacing w:before="81" w:after="81" w:line="210" w:lineRule="exact"/>
              <w:ind w:left="288" w:right="43"/>
              <w:rPr>
                <w:b/>
                <w:sz w:val="17"/>
                <w:lang w:val="en-GB"/>
              </w:rPr>
            </w:pPr>
            <w:r w:rsidRPr="007003B2">
              <w:rPr>
                <w:b/>
                <w:sz w:val="17"/>
                <w:lang w:val="en-GB"/>
              </w:rPr>
              <w:t>Total</w:t>
            </w:r>
          </w:p>
        </w:tc>
        <w:tc>
          <w:tcPr>
            <w:tcW w:w="1062" w:type="dxa"/>
            <w:tcBorders>
              <w:top w:val="single" w:sz="4" w:space="0" w:color="auto"/>
              <w:bottom w:val="single" w:sz="12" w:space="0" w:color="auto"/>
            </w:tcBorders>
            <w:shd w:val="clear" w:color="auto" w:fill="auto"/>
            <w:vAlign w:val="bottom"/>
          </w:tcPr>
          <w:p w14:paraId="2F9C6591"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p>
        </w:tc>
        <w:tc>
          <w:tcPr>
            <w:tcW w:w="1063" w:type="dxa"/>
            <w:tcBorders>
              <w:top w:val="single" w:sz="4" w:space="0" w:color="auto"/>
              <w:bottom w:val="single" w:sz="12" w:space="0" w:color="auto"/>
            </w:tcBorders>
            <w:shd w:val="clear" w:color="auto" w:fill="auto"/>
            <w:vAlign w:val="bottom"/>
          </w:tcPr>
          <w:p w14:paraId="1DF13376"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13</w:t>
            </w:r>
          </w:p>
        </w:tc>
        <w:tc>
          <w:tcPr>
            <w:tcW w:w="1041" w:type="dxa"/>
            <w:tcBorders>
              <w:top w:val="single" w:sz="4" w:space="0" w:color="auto"/>
              <w:bottom w:val="single" w:sz="12" w:space="0" w:color="auto"/>
            </w:tcBorders>
            <w:shd w:val="clear" w:color="auto" w:fill="auto"/>
            <w:vAlign w:val="bottom"/>
          </w:tcPr>
          <w:p w14:paraId="494FE9CB"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1016" w:type="dxa"/>
            <w:tcBorders>
              <w:top w:val="single" w:sz="4" w:space="0" w:color="auto"/>
              <w:bottom w:val="single" w:sz="12" w:space="0" w:color="auto"/>
            </w:tcBorders>
            <w:shd w:val="clear" w:color="auto" w:fill="auto"/>
            <w:vAlign w:val="bottom"/>
          </w:tcPr>
          <w:p w14:paraId="19C8E5DE"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711" w:type="dxa"/>
            <w:tcBorders>
              <w:top w:val="single" w:sz="4" w:space="0" w:color="auto"/>
              <w:bottom w:val="single" w:sz="12" w:space="0" w:color="auto"/>
            </w:tcBorders>
            <w:shd w:val="clear" w:color="auto" w:fill="auto"/>
            <w:vAlign w:val="bottom"/>
          </w:tcPr>
          <w:p w14:paraId="4B273650"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690" w:type="dxa"/>
            <w:tcBorders>
              <w:top w:val="single" w:sz="4" w:space="0" w:color="auto"/>
              <w:bottom w:val="single" w:sz="12" w:space="0" w:color="auto"/>
            </w:tcBorders>
            <w:shd w:val="clear" w:color="auto" w:fill="auto"/>
            <w:vAlign w:val="bottom"/>
          </w:tcPr>
          <w:p w14:paraId="3A5B6B89"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993" w:type="dxa"/>
            <w:tcBorders>
              <w:top w:val="single" w:sz="4" w:space="0" w:color="auto"/>
              <w:bottom w:val="single" w:sz="12" w:space="0" w:color="auto"/>
            </w:tcBorders>
            <w:shd w:val="clear" w:color="auto" w:fill="auto"/>
            <w:vAlign w:val="bottom"/>
          </w:tcPr>
          <w:p w14:paraId="603943C1"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912" w:type="dxa"/>
            <w:tcBorders>
              <w:top w:val="single" w:sz="4" w:space="0" w:color="auto"/>
              <w:bottom w:val="single" w:sz="12" w:space="0" w:color="auto"/>
            </w:tcBorders>
            <w:shd w:val="clear" w:color="auto" w:fill="auto"/>
            <w:vAlign w:val="bottom"/>
          </w:tcPr>
          <w:p w14:paraId="0FE92CEA"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 xml:space="preserve">13 </w:t>
            </w:r>
          </w:p>
        </w:tc>
      </w:tr>
    </w:tbl>
    <w:p w14:paraId="0CDE872B"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FF427B4"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4A40F3D"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7003B2">
        <w:rPr>
          <w:b w:val="0"/>
          <w:bCs/>
          <w:lang w:val="en-GB"/>
        </w:rPr>
        <w:t>Figure 15.XVI</w:t>
      </w:r>
    </w:p>
    <w:p w14:paraId="04E971C1"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Subprogramme 1: distribution of proposed resources for 2022 (before recosting)</w:t>
      </w:r>
    </w:p>
    <w:p w14:paraId="0ABD9D62"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 xml:space="preserve">(Number of posts/thousands of United States dollars) </w:t>
      </w:r>
    </w:p>
    <w:p w14:paraId="274B68C8" w14:textId="440A8A5C"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2FF92A2" w14:textId="458D9D9B" w:rsidR="00EA185F" w:rsidRPr="007003B2" w:rsidRDefault="00EF5A7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lang w:val="en-US"/>
        </w:rPr>
        <w:drawing>
          <wp:anchor distT="0" distB="0" distL="114300" distR="114300" simplePos="0" relativeHeight="251697152" behindDoc="0" locked="0" layoutInCell="1" allowOverlap="1" wp14:anchorId="41A2BED8" wp14:editId="55202B94">
            <wp:simplePos x="0" y="0"/>
            <wp:positionH relativeFrom="margin">
              <wp:align>left</wp:align>
            </wp:positionH>
            <wp:positionV relativeFrom="paragraph">
              <wp:posOffset>80645</wp:posOffset>
            </wp:positionV>
            <wp:extent cx="6243320" cy="3237865"/>
            <wp:effectExtent l="0" t="0" r="5080" b="63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8">
                      <a:extLst>
                        <a:ext uri="{28A0092B-C50C-407E-A947-70E740481C1C}">
                          <a14:useLocalDpi xmlns:a14="http://schemas.microsoft.com/office/drawing/2010/main" val="0"/>
                        </a:ext>
                      </a:extLst>
                    </a:blip>
                    <a:srcRect l="16913" r="16258" b="9264"/>
                    <a:stretch/>
                  </pic:blipFill>
                  <pic:spPr bwMode="auto">
                    <a:xfrm>
                      <a:off x="0" y="0"/>
                      <a:ext cx="6244566" cy="323846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3E92CA"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99233B6"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8D6AF46"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7003B2">
        <w:rPr>
          <w:lang w:val="en-GB"/>
        </w:rPr>
        <w:t>Extrabudgetary resources</w:t>
      </w:r>
    </w:p>
    <w:p w14:paraId="1F0EE853"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9F36E1A" w14:textId="57A28BD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15.15</w:t>
      </w:r>
      <w:r w:rsidR="007B5582">
        <w:t>6</w:t>
      </w:r>
      <w:r w:rsidRPr="007003B2">
        <w:tab/>
        <w:t xml:space="preserve">Extrabudgetary resources for the subprogramme are estimated at $60,392,700 and would provide for 12 posts (1 D-1, 4 P-5, 1 P-4, 1 P-3 and 5 LL), as well as non-post resources. The resources would be used mainly for technical cooperation projects with requesting countries in the areas of urban development, digital transformation strategies, regional development and on-the-job capacity development and training for local government officials, in order to better manage inclusive urban development following the new challenges to basic service provision posed by the COVID-19 </w:t>
      </w:r>
      <w:r w:rsidRPr="007003B2">
        <w:lastRenderedPageBreak/>
        <w:t>pandemic. Given the impact of the pandemic, subprogramme 1, in conjunction with other subprogrammes, will contribute to the pursuit of holistic responses to better support countries in their efforts to overcome the adversity and economic and social challenges resulting from the pandemic. Furthermore, under the subprogramme, extrabudgetary resources would also be used to promote and stimulate the engagement of the private sector in public-private partnerships that take into consideration the economic, social and environmental dimensions of sustainable urban development.</w:t>
      </w:r>
    </w:p>
    <w:p w14:paraId="2AD3ACE5" w14:textId="3287A0BB"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15.15</w:t>
      </w:r>
      <w:r w:rsidR="007B5582">
        <w:t>7</w:t>
      </w:r>
      <w:r w:rsidRPr="007003B2">
        <w:tab/>
        <w:t>The expected decrease of $584,500 is attributable mainly to the reallocation of extrabudgetary resources across the four subprogrammes after the analysis of the resource requirements for each strategic area and of the strategic priorities of UN-Habitat, driven by the express needs of Member States. There is significant increased demand worldwide for projects that promote strengthened climate action and improved urban environment, which is the domain of subprogramme 3.</w:t>
      </w:r>
    </w:p>
    <w:p w14:paraId="159C91AE"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28D7470"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7B8B750" w14:textId="486ED19D" w:rsidR="00EA185F" w:rsidRPr="007003B2" w:rsidRDefault="00EF5A7F" w:rsidP="00EF5A7F">
      <w:pPr>
        <w:pStyle w:val="H1"/>
        <w:ind w:right="1260"/>
      </w:pPr>
      <w:r>
        <w:tab/>
      </w:r>
      <w:r>
        <w:tab/>
      </w:r>
      <w:r w:rsidR="00EA185F" w:rsidRPr="007003B2">
        <w:t>Subprogramme 2</w:t>
      </w:r>
    </w:p>
    <w:p w14:paraId="045D74F9" w14:textId="7A33F038" w:rsidR="00EA185F" w:rsidRPr="007003B2" w:rsidRDefault="00EF5A7F" w:rsidP="00EF5A7F">
      <w:pPr>
        <w:pStyle w:val="H1"/>
        <w:ind w:right="1260"/>
      </w:pPr>
      <w:r>
        <w:tab/>
      </w:r>
      <w:r>
        <w:tab/>
      </w:r>
      <w:r w:rsidR="00EA185F" w:rsidRPr="007003B2">
        <w:t>Enhanced shared prosperity of cities and regions</w:t>
      </w:r>
    </w:p>
    <w:p w14:paraId="105D2025"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FA6DAF2"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F2A55E6" w14:textId="09AF49E8"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15.15</w:t>
      </w:r>
      <w:r w:rsidR="007B5582">
        <w:t>8</w:t>
      </w:r>
      <w:r w:rsidRPr="007003B2">
        <w:tab/>
        <w:t>The proposed regular budget resources for 2022 amount to $2,698,400 and reflect a net increase of $76,100 compared with the appropriation for 2021. The proposed increase is explained in paragraphs 15.13</w:t>
      </w:r>
      <w:r w:rsidR="006A45EB">
        <w:t>2</w:t>
      </w:r>
      <w:r w:rsidRPr="007003B2">
        <w:t>, 15.13</w:t>
      </w:r>
      <w:r w:rsidR="006A45EB">
        <w:t>3</w:t>
      </w:r>
      <w:r w:rsidRPr="007003B2">
        <w:t xml:space="preserve"> (b) and 15.1</w:t>
      </w:r>
      <w:r w:rsidR="006A45EB">
        <w:t xml:space="preserve">34 </w:t>
      </w:r>
      <w:r w:rsidRPr="007003B2">
        <w:t>(c). Additional details on the distribution of the proposed resources for 2022 are reflected in table 15.22 and figure 15.XVII.</w:t>
      </w:r>
    </w:p>
    <w:p w14:paraId="362E262E"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37B9372"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7003B2">
        <w:rPr>
          <w:b w:val="0"/>
          <w:bCs/>
          <w:lang w:val="en-GB"/>
        </w:rPr>
        <w:t>Table 15.22</w:t>
      </w:r>
    </w:p>
    <w:p w14:paraId="56D442FF"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Subprogramme 2: evolution of financial and post resources</w:t>
      </w:r>
    </w:p>
    <w:p w14:paraId="281B0E86"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(Thousands of United States dollars/number of posts)</w:t>
      </w:r>
    </w:p>
    <w:p w14:paraId="3108F503"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FAC2EC2"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5"/>
        <w:gridCol w:w="945"/>
        <w:gridCol w:w="1080"/>
        <w:gridCol w:w="990"/>
        <w:gridCol w:w="900"/>
        <w:gridCol w:w="900"/>
        <w:gridCol w:w="833"/>
        <w:gridCol w:w="935"/>
        <w:gridCol w:w="878"/>
      </w:tblGrid>
      <w:tr w:rsidR="00EA185F" w:rsidRPr="007003B2" w14:paraId="05E5C43D" w14:textId="77777777" w:rsidTr="00EF5A7F">
        <w:trPr>
          <w:tblHeader/>
        </w:trPr>
        <w:tc>
          <w:tcPr>
            <w:tcW w:w="2385" w:type="dxa"/>
            <w:tcBorders>
              <w:top w:val="single" w:sz="4" w:space="0" w:color="auto"/>
            </w:tcBorders>
            <w:shd w:val="clear" w:color="auto" w:fill="auto"/>
            <w:vAlign w:val="bottom"/>
          </w:tcPr>
          <w:p w14:paraId="4B8AAAEF" w14:textId="77777777" w:rsidR="00EA185F" w:rsidRPr="007003B2" w:rsidRDefault="00EA185F" w:rsidP="00206464">
            <w:pPr>
              <w:spacing w:before="81" w:after="81" w:line="160" w:lineRule="exact"/>
              <w:ind w:right="40"/>
              <w:rPr>
                <w:i/>
                <w:sz w:val="14"/>
                <w:lang w:val="en-GB"/>
              </w:rPr>
            </w:pPr>
          </w:p>
        </w:tc>
        <w:tc>
          <w:tcPr>
            <w:tcW w:w="945" w:type="dxa"/>
            <w:tcBorders>
              <w:top w:val="single" w:sz="4" w:space="0" w:color="auto"/>
            </w:tcBorders>
            <w:shd w:val="clear" w:color="auto" w:fill="auto"/>
            <w:vAlign w:val="bottom"/>
          </w:tcPr>
          <w:p w14:paraId="21CC603A" w14:textId="77777777" w:rsidR="00EA185F" w:rsidRPr="007003B2" w:rsidRDefault="00EA185F" w:rsidP="00206464">
            <w:pPr>
              <w:spacing w:before="81" w:after="81" w:line="160" w:lineRule="exact"/>
              <w:ind w:left="144" w:right="40"/>
              <w:jc w:val="right"/>
              <w:rPr>
                <w:i/>
                <w:sz w:val="14"/>
                <w:lang w:val="en-GB"/>
              </w:rPr>
            </w:pPr>
          </w:p>
        </w:tc>
        <w:tc>
          <w:tcPr>
            <w:tcW w:w="1080" w:type="dxa"/>
            <w:tcBorders>
              <w:top w:val="single" w:sz="4" w:space="0" w:color="auto"/>
            </w:tcBorders>
            <w:shd w:val="clear" w:color="auto" w:fill="auto"/>
            <w:vAlign w:val="bottom"/>
          </w:tcPr>
          <w:p w14:paraId="38945CE6" w14:textId="77777777" w:rsidR="00EA185F" w:rsidRPr="007003B2" w:rsidRDefault="00EA185F" w:rsidP="00206464">
            <w:pPr>
              <w:spacing w:before="81" w:after="81" w:line="160" w:lineRule="exact"/>
              <w:ind w:left="144" w:right="40"/>
              <w:jc w:val="right"/>
              <w:rPr>
                <w:i/>
                <w:sz w:val="14"/>
                <w:lang w:val="en-GB"/>
              </w:rPr>
            </w:pPr>
          </w:p>
        </w:tc>
        <w:tc>
          <w:tcPr>
            <w:tcW w:w="4558" w:type="dxa"/>
            <w:gridSpan w:val="5"/>
            <w:tcBorders>
              <w:top w:val="single" w:sz="4" w:space="0" w:color="auto"/>
              <w:bottom w:val="single" w:sz="4" w:space="0" w:color="auto"/>
            </w:tcBorders>
            <w:shd w:val="clear" w:color="auto" w:fill="auto"/>
            <w:vAlign w:val="bottom"/>
          </w:tcPr>
          <w:p w14:paraId="2EBCB680" w14:textId="77777777" w:rsidR="00EA185F" w:rsidRPr="007003B2" w:rsidRDefault="00EA185F" w:rsidP="00206464">
            <w:pPr>
              <w:spacing w:before="81" w:after="81" w:line="160" w:lineRule="exact"/>
              <w:ind w:left="144" w:right="40"/>
              <w:jc w:val="center"/>
              <w:rPr>
                <w:i/>
                <w:sz w:val="14"/>
                <w:lang w:val="en-GB"/>
              </w:rPr>
            </w:pPr>
            <w:r w:rsidRPr="007003B2">
              <w:rPr>
                <w:i/>
                <w:sz w:val="14"/>
                <w:lang w:val="en-GB"/>
              </w:rPr>
              <w:t>Changes</w:t>
            </w:r>
          </w:p>
        </w:tc>
        <w:tc>
          <w:tcPr>
            <w:tcW w:w="878" w:type="dxa"/>
            <w:vMerge w:val="restart"/>
            <w:tcBorders>
              <w:top w:val="single" w:sz="4" w:space="0" w:color="auto"/>
            </w:tcBorders>
            <w:shd w:val="clear" w:color="auto" w:fill="auto"/>
            <w:vAlign w:val="bottom"/>
          </w:tcPr>
          <w:p w14:paraId="18B22944"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2022 estimate (before recosting)</w:t>
            </w:r>
          </w:p>
        </w:tc>
      </w:tr>
      <w:tr w:rsidR="00EA185F" w:rsidRPr="007003B2" w14:paraId="1FEC864D" w14:textId="77777777" w:rsidTr="00EF5A7F">
        <w:trPr>
          <w:tblHeader/>
        </w:trPr>
        <w:tc>
          <w:tcPr>
            <w:tcW w:w="2385" w:type="dxa"/>
            <w:tcBorders>
              <w:bottom w:val="single" w:sz="12" w:space="0" w:color="auto"/>
            </w:tcBorders>
            <w:shd w:val="clear" w:color="auto" w:fill="auto"/>
            <w:vAlign w:val="bottom"/>
          </w:tcPr>
          <w:p w14:paraId="5AA603EB" w14:textId="77777777" w:rsidR="00EA185F" w:rsidRPr="007003B2" w:rsidRDefault="00EA185F" w:rsidP="00206464">
            <w:pPr>
              <w:spacing w:before="81" w:after="81" w:line="160" w:lineRule="exact"/>
              <w:ind w:right="40"/>
              <w:rPr>
                <w:i/>
                <w:sz w:val="14"/>
                <w:lang w:val="en-GB"/>
              </w:rPr>
            </w:pPr>
          </w:p>
        </w:tc>
        <w:tc>
          <w:tcPr>
            <w:tcW w:w="945" w:type="dxa"/>
            <w:tcBorders>
              <w:bottom w:val="single" w:sz="12" w:space="0" w:color="auto"/>
            </w:tcBorders>
            <w:shd w:val="clear" w:color="auto" w:fill="auto"/>
            <w:vAlign w:val="bottom"/>
          </w:tcPr>
          <w:p w14:paraId="2DF12B35"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2020 expenditure</w:t>
            </w:r>
          </w:p>
        </w:tc>
        <w:tc>
          <w:tcPr>
            <w:tcW w:w="1080" w:type="dxa"/>
            <w:tcBorders>
              <w:bottom w:val="single" w:sz="12" w:space="0" w:color="auto"/>
            </w:tcBorders>
            <w:shd w:val="clear" w:color="auto" w:fill="auto"/>
            <w:vAlign w:val="bottom"/>
          </w:tcPr>
          <w:p w14:paraId="18136C1E"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2021 appropriation</w:t>
            </w:r>
          </w:p>
        </w:tc>
        <w:tc>
          <w:tcPr>
            <w:tcW w:w="990" w:type="dxa"/>
            <w:tcBorders>
              <w:top w:val="single" w:sz="4" w:space="0" w:color="auto"/>
              <w:bottom w:val="single" w:sz="12" w:space="0" w:color="auto"/>
            </w:tcBorders>
            <w:shd w:val="clear" w:color="auto" w:fill="auto"/>
            <w:vAlign w:val="bottom"/>
          </w:tcPr>
          <w:p w14:paraId="3C2788E6"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Technical adjustments</w:t>
            </w:r>
          </w:p>
        </w:tc>
        <w:tc>
          <w:tcPr>
            <w:tcW w:w="900" w:type="dxa"/>
            <w:tcBorders>
              <w:top w:val="single" w:sz="4" w:space="0" w:color="auto"/>
              <w:bottom w:val="single" w:sz="12" w:space="0" w:color="auto"/>
            </w:tcBorders>
            <w:shd w:val="clear" w:color="auto" w:fill="auto"/>
            <w:vAlign w:val="bottom"/>
          </w:tcPr>
          <w:p w14:paraId="53BBBCC4"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New/ expanded mandates</w:t>
            </w:r>
          </w:p>
        </w:tc>
        <w:tc>
          <w:tcPr>
            <w:tcW w:w="900" w:type="dxa"/>
            <w:tcBorders>
              <w:top w:val="single" w:sz="4" w:space="0" w:color="auto"/>
              <w:bottom w:val="single" w:sz="12" w:space="0" w:color="auto"/>
            </w:tcBorders>
            <w:shd w:val="clear" w:color="auto" w:fill="auto"/>
            <w:vAlign w:val="bottom"/>
          </w:tcPr>
          <w:p w14:paraId="6445838B"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Other</w:t>
            </w:r>
          </w:p>
        </w:tc>
        <w:tc>
          <w:tcPr>
            <w:tcW w:w="833" w:type="dxa"/>
            <w:tcBorders>
              <w:top w:val="single" w:sz="4" w:space="0" w:color="auto"/>
              <w:bottom w:val="single" w:sz="12" w:space="0" w:color="auto"/>
            </w:tcBorders>
            <w:shd w:val="clear" w:color="auto" w:fill="auto"/>
            <w:vAlign w:val="bottom"/>
          </w:tcPr>
          <w:p w14:paraId="59D44B41"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Total</w:t>
            </w:r>
          </w:p>
        </w:tc>
        <w:tc>
          <w:tcPr>
            <w:tcW w:w="935" w:type="dxa"/>
            <w:tcBorders>
              <w:top w:val="single" w:sz="4" w:space="0" w:color="auto"/>
              <w:bottom w:val="single" w:sz="12" w:space="0" w:color="auto"/>
            </w:tcBorders>
            <w:shd w:val="clear" w:color="auto" w:fill="auto"/>
            <w:vAlign w:val="bottom"/>
          </w:tcPr>
          <w:p w14:paraId="4057DBB3"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Percentage</w:t>
            </w:r>
          </w:p>
        </w:tc>
        <w:tc>
          <w:tcPr>
            <w:tcW w:w="878" w:type="dxa"/>
            <w:vMerge/>
            <w:tcBorders>
              <w:bottom w:val="single" w:sz="12" w:space="0" w:color="auto"/>
            </w:tcBorders>
            <w:shd w:val="clear" w:color="auto" w:fill="auto"/>
            <w:vAlign w:val="bottom"/>
          </w:tcPr>
          <w:p w14:paraId="059428C3" w14:textId="77777777" w:rsidR="00EA185F" w:rsidRPr="007003B2" w:rsidRDefault="00EA185F" w:rsidP="00206464">
            <w:pPr>
              <w:spacing w:before="81" w:after="81" w:line="160" w:lineRule="exact"/>
              <w:ind w:left="144" w:right="40"/>
              <w:jc w:val="right"/>
              <w:rPr>
                <w:i/>
                <w:sz w:val="14"/>
                <w:lang w:val="en-GB"/>
              </w:rPr>
            </w:pPr>
          </w:p>
        </w:tc>
      </w:tr>
      <w:tr w:rsidR="00EA185F" w:rsidRPr="007003B2" w14:paraId="66A99770" w14:textId="77777777" w:rsidTr="00EF5A7F">
        <w:trPr>
          <w:trHeight w:hRule="exact" w:val="115"/>
          <w:tblHeader/>
        </w:trPr>
        <w:tc>
          <w:tcPr>
            <w:tcW w:w="2385" w:type="dxa"/>
            <w:tcBorders>
              <w:top w:val="single" w:sz="12" w:space="0" w:color="auto"/>
            </w:tcBorders>
            <w:shd w:val="clear" w:color="auto" w:fill="auto"/>
            <w:vAlign w:val="bottom"/>
          </w:tcPr>
          <w:p w14:paraId="4FE8FA0F" w14:textId="77777777" w:rsidR="00EA185F" w:rsidRPr="007003B2" w:rsidRDefault="00EA185F" w:rsidP="00206464">
            <w:pPr>
              <w:spacing w:before="40" w:after="40" w:line="210" w:lineRule="exact"/>
              <w:ind w:right="40"/>
              <w:rPr>
                <w:sz w:val="17"/>
                <w:lang w:val="en-GB"/>
              </w:rPr>
            </w:pPr>
          </w:p>
        </w:tc>
        <w:tc>
          <w:tcPr>
            <w:tcW w:w="945" w:type="dxa"/>
            <w:tcBorders>
              <w:top w:val="single" w:sz="12" w:space="0" w:color="auto"/>
            </w:tcBorders>
            <w:shd w:val="clear" w:color="auto" w:fill="auto"/>
            <w:vAlign w:val="bottom"/>
          </w:tcPr>
          <w:p w14:paraId="37CDF33B" w14:textId="77777777" w:rsidR="00EA185F" w:rsidRPr="007003B2" w:rsidRDefault="00EA185F" w:rsidP="00206464">
            <w:pPr>
              <w:spacing w:before="40" w:after="40" w:line="210" w:lineRule="exact"/>
              <w:ind w:left="144" w:right="40"/>
              <w:jc w:val="right"/>
              <w:rPr>
                <w:sz w:val="17"/>
                <w:lang w:val="en-GB"/>
              </w:rPr>
            </w:pPr>
          </w:p>
        </w:tc>
        <w:tc>
          <w:tcPr>
            <w:tcW w:w="1080" w:type="dxa"/>
            <w:tcBorders>
              <w:top w:val="single" w:sz="12" w:space="0" w:color="auto"/>
            </w:tcBorders>
            <w:shd w:val="clear" w:color="auto" w:fill="auto"/>
            <w:vAlign w:val="bottom"/>
          </w:tcPr>
          <w:p w14:paraId="72F8F9D8" w14:textId="77777777" w:rsidR="00EA185F" w:rsidRPr="007003B2" w:rsidRDefault="00EA185F" w:rsidP="00206464">
            <w:pPr>
              <w:spacing w:before="40" w:after="40" w:line="210" w:lineRule="exact"/>
              <w:ind w:left="144" w:right="40"/>
              <w:jc w:val="right"/>
              <w:rPr>
                <w:sz w:val="17"/>
                <w:lang w:val="en-GB"/>
              </w:rPr>
            </w:pPr>
          </w:p>
        </w:tc>
        <w:tc>
          <w:tcPr>
            <w:tcW w:w="990" w:type="dxa"/>
            <w:tcBorders>
              <w:top w:val="single" w:sz="12" w:space="0" w:color="auto"/>
            </w:tcBorders>
            <w:shd w:val="clear" w:color="auto" w:fill="auto"/>
            <w:vAlign w:val="bottom"/>
          </w:tcPr>
          <w:p w14:paraId="5495C462" w14:textId="77777777" w:rsidR="00EA185F" w:rsidRPr="007003B2" w:rsidRDefault="00EA185F" w:rsidP="00206464">
            <w:pPr>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109BD99E" w14:textId="77777777" w:rsidR="00EA185F" w:rsidRPr="007003B2" w:rsidRDefault="00EA185F" w:rsidP="00206464">
            <w:pPr>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45F83919" w14:textId="77777777" w:rsidR="00EA185F" w:rsidRPr="007003B2" w:rsidRDefault="00EA185F" w:rsidP="00206464">
            <w:pPr>
              <w:spacing w:before="40" w:after="40" w:line="210" w:lineRule="exact"/>
              <w:ind w:left="144" w:right="40"/>
              <w:jc w:val="right"/>
              <w:rPr>
                <w:sz w:val="17"/>
                <w:lang w:val="en-GB"/>
              </w:rPr>
            </w:pPr>
          </w:p>
        </w:tc>
        <w:tc>
          <w:tcPr>
            <w:tcW w:w="833" w:type="dxa"/>
            <w:tcBorders>
              <w:top w:val="single" w:sz="12" w:space="0" w:color="auto"/>
            </w:tcBorders>
            <w:shd w:val="clear" w:color="auto" w:fill="auto"/>
            <w:vAlign w:val="bottom"/>
          </w:tcPr>
          <w:p w14:paraId="5EB33E7C" w14:textId="77777777" w:rsidR="00EA185F" w:rsidRPr="007003B2" w:rsidRDefault="00EA185F" w:rsidP="00206464">
            <w:pPr>
              <w:spacing w:before="40" w:after="40" w:line="210" w:lineRule="exact"/>
              <w:ind w:left="144" w:right="40"/>
              <w:jc w:val="right"/>
              <w:rPr>
                <w:sz w:val="17"/>
                <w:lang w:val="en-GB"/>
              </w:rPr>
            </w:pPr>
          </w:p>
        </w:tc>
        <w:tc>
          <w:tcPr>
            <w:tcW w:w="935" w:type="dxa"/>
            <w:tcBorders>
              <w:top w:val="single" w:sz="12" w:space="0" w:color="auto"/>
            </w:tcBorders>
            <w:shd w:val="clear" w:color="auto" w:fill="auto"/>
            <w:vAlign w:val="bottom"/>
          </w:tcPr>
          <w:p w14:paraId="1D71030D" w14:textId="77777777" w:rsidR="00EA185F" w:rsidRPr="007003B2" w:rsidRDefault="00EA185F" w:rsidP="00206464">
            <w:pPr>
              <w:spacing w:before="40" w:after="40" w:line="210" w:lineRule="exact"/>
              <w:ind w:left="144" w:right="40"/>
              <w:jc w:val="right"/>
              <w:rPr>
                <w:sz w:val="17"/>
                <w:lang w:val="en-GB"/>
              </w:rPr>
            </w:pPr>
          </w:p>
        </w:tc>
        <w:tc>
          <w:tcPr>
            <w:tcW w:w="878" w:type="dxa"/>
            <w:tcBorders>
              <w:top w:val="single" w:sz="12" w:space="0" w:color="auto"/>
            </w:tcBorders>
            <w:shd w:val="clear" w:color="auto" w:fill="auto"/>
            <w:vAlign w:val="bottom"/>
          </w:tcPr>
          <w:p w14:paraId="138EC1B2" w14:textId="77777777" w:rsidR="00EA185F" w:rsidRPr="007003B2" w:rsidRDefault="00EA185F" w:rsidP="00206464">
            <w:pPr>
              <w:spacing w:before="40" w:after="40" w:line="210" w:lineRule="exact"/>
              <w:ind w:left="144" w:right="40"/>
              <w:jc w:val="right"/>
              <w:rPr>
                <w:sz w:val="17"/>
                <w:lang w:val="en-GB"/>
              </w:rPr>
            </w:pPr>
          </w:p>
        </w:tc>
      </w:tr>
      <w:tr w:rsidR="00EA185F" w:rsidRPr="007003B2" w14:paraId="56B291C3" w14:textId="77777777" w:rsidTr="00206464">
        <w:tc>
          <w:tcPr>
            <w:tcW w:w="9846" w:type="dxa"/>
            <w:gridSpan w:val="9"/>
            <w:shd w:val="clear" w:color="auto" w:fill="auto"/>
            <w:vAlign w:val="bottom"/>
          </w:tcPr>
          <w:p w14:paraId="1323925C" w14:textId="77777777" w:rsidR="00EA185F" w:rsidRPr="007003B2" w:rsidRDefault="00EA185F" w:rsidP="00206464">
            <w:pPr>
              <w:tabs>
                <w:tab w:val="left" w:pos="288"/>
                <w:tab w:val="left" w:pos="576"/>
                <w:tab w:val="left" w:pos="864"/>
                <w:tab w:val="left" w:pos="1152"/>
              </w:tabs>
              <w:spacing w:before="40" w:after="40" w:line="210" w:lineRule="exact"/>
              <w:ind w:right="40"/>
              <w:rPr>
                <w:b/>
                <w:bCs/>
                <w:sz w:val="17"/>
                <w:lang w:val="en-GB"/>
              </w:rPr>
            </w:pPr>
            <w:r w:rsidRPr="007003B2">
              <w:rPr>
                <w:b/>
                <w:bCs/>
                <w:sz w:val="17"/>
                <w:lang w:val="en-GB"/>
              </w:rPr>
              <w:t>Financial resources by main category of expenditure</w:t>
            </w:r>
          </w:p>
        </w:tc>
      </w:tr>
      <w:tr w:rsidR="00EA185F" w:rsidRPr="007003B2" w14:paraId="188E5B11" w14:textId="77777777" w:rsidTr="00EF5A7F">
        <w:tc>
          <w:tcPr>
            <w:tcW w:w="2385" w:type="dxa"/>
            <w:shd w:val="clear" w:color="auto" w:fill="auto"/>
            <w:vAlign w:val="bottom"/>
          </w:tcPr>
          <w:p w14:paraId="1B8EC47A" w14:textId="77777777" w:rsidR="00EA185F" w:rsidRPr="007003B2" w:rsidRDefault="00EA185F" w:rsidP="00206464">
            <w:pPr>
              <w:tabs>
                <w:tab w:val="left" w:pos="288"/>
                <w:tab w:val="left" w:pos="576"/>
                <w:tab w:val="left" w:pos="864"/>
                <w:tab w:val="left" w:pos="1152"/>
              </w:tabs>
              <w:spacing w:before="40" w:after="40" w:line="210" w:lineRule="exact"/>
              <w:ind w:right="40"/>
              <w:rPr>
                <w:sz w:val="17"/>
                <w:lang w:val="en-GB"/>
              </w:rPr>
            </w:pPr>
            <w:r w:rsidRPr="007003B2">
              <w:rPr>
                <w:sz w:val="17"/>
                <w:lang w:val="en-GB"/>
              </w:rPr>
              <w:t>Post</w:t>
            </w:r>
          </w:p>
        </w:tc>
        <w:tc>
          <w:tcPr>
            <w:tcW w:w="945" w:type="dxa"/>
            <w:shd w:val="clear" w:color="auto" w:fill="auto"/>
            <w:vAlign w:val="bottom"/>
          </w:tcPr>
          <w:p w14:paraId="4F143F9B"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1 559.0</w:t>
            </w:r>
          </w:p>
        </w:tc>
        <w:tc>
          <w:tcPr>
            <w:tcW w:w="1080" w:type="dxa"/>
            <w:shd w:val="clear" w:color="auto" w:fill="auto"/>
            <w:vAlign w:val="bottom"/>
          </w:tcPr>
          <w:p w14:paraId="56D8FB7E"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2 410.0</w:t>
            </w:r>
          </w:p>
        </w:tc>
        <w:tc>
          <w:tcPr>
            <w:tcW w:w="990" w:type="dxa"/>
            <w:shd w:val="clear" w:color="auto" w:fill="auto"/>
            <w:vAlign w:val="bottom"/>
          </w:tcPr>
          <w:p w14:paraId="5D34F6F9"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98.1</w:t>
            </w:r>
          </w:p>
        </w:tc>
        <w:tc>
          <w:tcPr>
            <w:tcW w:w="900" w:type="dxa"/>
            <w:shd w:val="clear" w:color="auto" w:fill="auto"/>
            <w:vAlign w:val="bottom"/>
          </w:tcPr>
          <w:p w14:paraId="53F3A55E"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00" w:type="dxa"/>
            <w:shd w:val="clear" w:color="auto" w:fill="auto"/>
            <w:vAlign w:val="bottom"/>
          </w:tcPr>
          <w:p w14:paraId="451BEB1A"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(172.9)</w:t>
            </w:r>
          </w:p>
        </w:tc>
        <w:tc>
          <w:tcPr>
            <w:tcW w:w="833" w:type="dxa"/>
            <w:shd w:val="clear" w:color="auto" w:fill="auto"/>
            <w:vAlign w:val="bottom"/>
          </w:tcPr>
          <w:p w14:paraId="5B172A1F"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(74.8)</w:t>
            </w:r>
          </w:p>
        </w:tc>
        <w:tc>
          <w:tcPr>
            <w:tcW w:w="935" w:type="dxa"/>
            <w:shd w:val="clear" w:color="auto" w:fill="auto"/>
            <w:vAlign w:val="bottom"/>
          </w:tcPr>
          <w:p w14:paraId="22B7D3C3"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(3.1)</w:t>
            </w:r>
          </w:p>
        </w:tc>
        <w:tc>
          <w:tcPr>
            <w:tcW w:w="878" w:type="dxa"/>
            <w:shd w:val="clear" w:color="auto" w:fill="auto"/>
            <w:vAlign w:val="bottom"/>
          </w:tcPr>
          <w:p w14:paraId="014393EB"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 xml:space="preserve">2 335.2 </w:t>
            </w:r>
          </w:p>
        </w:tc>
      </w:tr>
      <w:tr w:rsidR="00EA185F" w:rsidRPr="007003B2" w14:paraId="688A85CB" w14:textId="77777777" w:rsidTr="00EF5A7F">
        <w:tc>
          <w:tcPr>
            <w:tcW w:w="2385" w:type="dxa"/>
            <w:tcBorders>
              <w:bottom w:val="single" w:sz="4" w:space="0" w:color="auto"/>
            </w:tcBorders>
            <w:shd w:val="clear" w:color="auto" w:fill="auto"/>
            <w:vAlign w:val="bottom"/>
          </w:tcPr>
          <w:p w14:paraId="2848539A" w14:textId="77777777" w:rsidR="00EA185F" w:rsidRPr="007003B2" w:rsidRDefault="00EA185F" w:rsidP="00206464">
            <w:pPr>
              <w:tabs>
                <w:tab w:val="left" w:pos="288"/>
                <w:tab w:val="left" w:pos="576"/>
                <w:tab w:val="left" w:pos="864"/>
                <w:tab w:val="left" w:pos="1152"/>
              </w:tabs>
              <w:spacing w:before="40" w:after="81" w:line="210" w:lineRule="exact"/>
              <w:ind w:right="40"/>
              <w:rPr>
                <w:sz w:val="17"/>
                <w:lang w:val="en-GB"/>
              </w:rPr>
            </w:pPr>
            <w:r w:rsidRPr="007003B2">
              <w:rPr>
                <w:sz w:val="17"/>
                <w:lang w:val="en-GB"/>
              </w:rPr>
              <w:t>Non-post</w:t>
            </w:r>
          </w:p>
        </w:tc>
        <w:tc>
          <w:tcPr>
            <w:tcW w:w="945" w:type="dxa"/>
            <w:tcBorders>
              <w:bottom w:val="single" w:sz="4" w:space="0" w:color="auto"/>
            </w:tcBorders>
            <w:shd w:val="clear" w:color="auto" w:fill="auto"/>
            <w:vAlign w:val="bottom"/>
          </w:tcPr>
          <w:p w14:paraId="79BBF14D"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148.8</w:t>
            </w:r>
          </w:p>
        </w:tc>
        <w:tc>
          <w:tcPr>
            <w:tcW w:w="1080" w:type="dxa"/>
            <w:tcBorders>
              <w:bottom w:val="single" w:sz="4" w:space="0" w:color="auto"/>
            </w:tcBorders>
            <w:shd w:val="clear" w:color="auto" w:fill="auto"/>
            <w:vAlign w:val="bottom"/>
          </w:tcPr>
          <w:p w14:paraId="3A2521EE"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212.3</w:t>
            </w:r>
          </w:p>
        </w:tc>
        <w:tc>
          <w:tcPr>
            <w:tcW w:w="990" w:type="dxa"/>
            <w:tcBorders>
              <w:bottom w:val="single" w:sz="4" w:space="0" w:color="auto"/>
            </w:tcBorders>
            <w:shd w:val="clear" w:color="auto" w:fill="auto"/>
            <w:vAlign w:val="bottom"/>
          </w:tcPr>
          <w:p w14:paraId="3D936893"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00" w:type="dxa"/>
            <w:tcBorders>
              <w:bottom w:val="single" w:sz="4" w:space="0" w:color="auto"/>
            </w:tcBorders>
            <w:shd w:val="clear" w:color="auto" w:fill="auto"/>
            <w:vAlign w:val="bottom"/>
          </w:tcPr>
          <w:p w14:paraId="5B1FA352"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151.4</w:t>
            </w:r>
          </w:p>
        </w:tc>
        <w:tc>
          <w:tcPr>
            <w:tcW w:w="900" w:type="dxa"/>
            <w:tcBorders>
              <w:bottom w:val="single" w:sz="4" w:space="0" w:color="auto"/>
            </w:tcBorders>
            <w:shd w:val="clear" w:color="auto" w:fill="auto"/>
            <w:vAlign w:val="bottom"/>
          </w:tcPr>
          <w:p w14:paraId="67C96B69"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(0.5)</w:t>
            </w:r>
          </w:p>
        </w:tc>
        <w:tc>
          <w:tcPr>
            <w:tcW w:w="833" w:type="dxa"/>
            <w:tcBorders>
              <w:bottom w:val="single" w:sz="4" w:space="0" w:color="auto"/>
            </w:tcBorders>
            <w:shd w:val="clear" w:color="auto" w:fill="auto"/>
            <w:vAlign w:val="bottom"/>
          </w:tcPr>
          <w:p w14:paraId="352A8731"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150.9</w:t>
            </w:r>
          </w:p>
        </w:tc>
        <w:tc>
          <w:tcPr>
            <w:tcW w:w="935" w:type="dxa"/>
            <w:tcBorders>
              <w:bottom w:val="single" w:sz="4" w:space="0" w:color="auto"/>
            </w:tcBorders>
            <w:shd w:val="clear" w:color="auto" w:fill="auto"/>
            <w:vAlign w:val="bottom"/>
          </w:tcPr>
          <w:p w14:paraId="3B9139CB"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71.1</w:t>
            </w:r>
          </w:p>
        </w:tc>
        <w:tc>
          <w:tcPr>
            <w:tcW w:w="878" w:type="dxa"/>
            <w:tcBorders>
              <w:bottom w:val="single" w:sz="4" w:space="0" w:color="auto"/>
            </w:tcBorders>
            <w:shd w:val="clear" w:color="auto" w:fill="auto"/>
            <w:vAlign w:val="bottom"/>
          </w:tcPr>
          <w:p w14:paraId="4D62F62A"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363.2</w:t>
            </w:r>
          </w:p>
        </w:tc>
      </w:tr>
      <w:tr w:rsidR="00EA185F" w:rsidRPr="007003B2" w14:paraId="25C3BA52" w14:textId="77777777" w:rsidTr="00EF5A7F">
        <w:tc>
          <w:tcPr>
            <w:tcW w:w="2385" w:type="dxa"/>
            <w:tcBorders>
              <w:top w:val="single" w:sz="4" w:space="0" w:color="auto"/>
              <w:bottom w:val="single" w:sz="4" w:space="0" w:color="auto"/>
            </w:tcBorders>
            <w:shd w:val="clear" w:color="auto" w:fill="auto"/>
            <w:vAlign w:val="bottom"/>
          </w:tcPr>
          <w:p w14:paraId="253BA31A" w14:textId="77777777" w:rsidR="00EA185F" w:rsidRPr="007003B2" w:rsidRDefault="00EA185F" w:rsidP="00206464">
            <w:pPr>
              <w:tabs>
                <w:tab w:val="left" w:pos="288"/>
                <w:tab w:val="left" w:pos="576"/>
                <w:tab w:val="left" w:pos="864"/>
                <w:tab w:val="left" w:pos="1152"/>
              </w:tabs>
              <w:spacing w:before="81" w:after="81" w:line="210" w:lineRule="exact"/>
              <w:ind w:left="288" w:right="40"/>
              <w:rPr>
                <w:b/>
                <w:sz w:val="17"/>
                <w:lang w:val="en-GB"/>
              </w:rPr>
            </w:pPr>
            <w:r w:rsidRPr="007003B2">
              <w:rPr>
                <w:b/>
                <w:sz w:val="17"/>
                <w:lang w:val="en-GB"/>
              </w:rPr>
              <w:t>Total</w:t>
            </w:r>
          </w:p>
        </w:tc>
        <w:tc>
          <w:tcPr>
            <w:tcW w:w="945" w:type="dxa"/>
            <w:tcBorders>
              <w:top w:val="single" w:sz="4" w:space="0" w:color="auto"/>
              <w:bottom w:val="single" w:sz="4" w:space="0" w:color="auto"/>
            </w:tcBorders>
            <w:shd w:val="clear" w:color="auto" w:fill="auto"/>
            <w:vAlign w:val="bottom"/>
          </w:tcPr>
          <w:p w14:paraId="7BECD490"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1 707.8</w:t>
            </w:r>
          </w:p>
        </w:tc>
        <w:tc>
          <w:tcPr>
            <w:tcW w:w="1080" w:type="dxa"/>
            <w:tcBorders>
              <w:top w:val="single" w:sz="4" w:space="0" w:color="auto"/>
              <w:bottom w:val="single" w:sz="4" w:space="0" w:color="auto"/>
            </w:tcBorders>
            <w:shd w:val="clear" w:color="auto" w:fill="auto"/>
            <w:vAlign w:val="bottom"/>
          </w:tcPr>
          <w:p w14:paraId="47A39A63"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2 622.3</w:t>
            </w:r>
          </w:p>
        </w:tc>
        <w:tc>
          <w:tcPr>
            <w:tcW w:w="990" w:type="dxa"/>
            <w:tcBorders>
              <w:top w:val="single" w:sz="4" w:space="0" w:color="auto"/>
              <w:bottom w:val="single" w:sz="4" w:space="0" w:color="auto"/>
            </w:tcBorders>
            <w:shd w:val="clear" w:color="auto" w:fill="auto"/>
            <w:vAlign w:val="bottom"/>
          </w:tcPr>
          <w:p w14:paraId="6A66AE64"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98.1</w:t>
            </w:r>
          </w:p>
        </w:tc>
        <w:tc>
          <w:tcPr>
            <w:tcW w:w="900" w:type="dxa"/>
            <w:tcBorders>
              <w:top w:val="single" w:sz="4" w:space="0" w:color="auto"/>
              <w:bottom w:val="single" w:sz="4" w:space="0" w:color="auto"/>
            </w:tcBorders>
            <w:shd w:val="clear" w:color="auto" w:fill="auto"/>
            <w:vAlign w:val="bottom"/>
          </w:tcPr>
          <w:p w14:paraId="003D17C9"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151.4</w:t>
            </w:r>
          </w:p>
        </w:tc>
        <w:tc>
          <w:tcPr>
            <w:tcW w:w="900" w:type="dxa"/>
            <w:tcBorders>
              <w:top w:val="single" w:sz="4" w:space="0" w:color="auto"/>
              <w:bottom w:val="single" w:sz="4" w:space="0" w:color="auto"/>
            </w:tcBorders>
            <w:shd w:val="clear" w:color="auto" w:fill="auto"/>
            <w:vAlign w:val="bottom"/>
          </w:tcPr>
          <w:p w14:paraId="42C62B3F"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(173.4)</w:t>
            </w:r>
          </w:p>
        </w:tc>
        <w:tc>
          <w:tcPr>
            <w:tcW w:w="833" w:type="dxa"/>
            <w:tcBorders>
              <w:top w:val="single" w:sz="4" w:space="0" w:color="auto"/>
              <w:bottom w:val="single" w:sz="4" w:space="0" w:color="auto"/>
            </w:tcBorders>
            <w:shd w:val="clear" w:color="auto" w:fill="auto"/>
            <w:vAlign w:val="bottom"/>
          </w:tcPr>
          <w:p w14:paraId="4775F6B1"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76.1</w:t>
            </w:r>
          </w:p>
        </w:tc>
        <w:tc>
          <w:tcPr>
            <w:tcW w:w="935" w:type="dxa"/>
            <w:tcBorders>
              <w:top w:val="single" w:sz="4" w:space="0" w:color="auto"/>
              <w:bottom w:val="single" w:sz="4" w:space="0" w:color="auto"/>
            </w:tcBorders>
            <w:shd w:val="clear" w:color="auto" w:fill="auto"/>
            <w:vAlign w:val="bottom"/>
          </w:tcPr>
          <w:p w14:paraId="1385AE42"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2.9</w:t>
            </w:r>
          </w:p>
        </w:tc>
        <w:tc>
          <w:tcPr>
            <w:tcW w:w="878" w:type="dxa"/>
            <w:tcBorders>
              <w:top w:val="single" w:sz="4" w:space="0" w:color="auto"/>
              <w:bottom w:val="single" w:sz="4" w:space="0" w:color="auto"/>
            </w:tcBorders>
            <w:shd w:val="clear" w:color="auto" w:fill="auto"/>
            <w:vAlign w:val="bottom"/>
          </w:tcPr>
          <w:p w14:paraId="0A7AD82C"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2 698.4</w:t>
            </w:r>
          </w:p>
        </w:tc>
      </w:tr>
      <w:tr w:rsidR="00EA185F" w:rsidRPr="007003B2" w14:paraId="1952ABDD" w14:textId="77777777" w:rsidTr="00206464">
        <w:tc>
          <w:tcPr>
            <w:tcW w:w="9846" w:type="dxa"/>
            <w:gridSpan w:val="9"/>
            <w:tcBorders>
              <w:top w:val="single" w:sz="4" w:space="0" w:color="auto"/>
            </w:tcBorders>
            <w:shd w:val="clear" w:color="auto" w:fill="auto"/>
            <w:vAlign w:val="bottom"/>
          </w:tcPr>
          <w:p w14:paraId="60CFA751" w14:textId="77777777" w:rsidR="00EA185F" w:rsidRPr="007003B2" w:rsidRDefault="00EA185F" w:rsidP="00206464">
            <w:pPr>
              <w:tabs>
                <w:tab w:val="left" w:pos="288"/>
                <w:tab w:val="left" w:pos="576"/>
                <w:tab w:val="left" w:pos="864"/>
                <w:tab w:val="left" w:pos="1152"/>
              </w:tabs>
              <w:spacing w:before="81" w:after="40" w:line="210" w:lineRule="exact"/>
              <w:ind w:right="40"/>
              <w:rPr>
                <w:b/>
                <w:bCs/>
                <w:sz w:val="17"/>
                <w:lang w:val="en-GB"/>
              </w:rPr>
            </w:pPr>
            <w:r w:rsidRPr="007003B2">
              <w:rPr>
                <w:b/>
                <w:bCs/>
                <w:sz w:val="17"/>
                <w:lang w:val="en-GB"/>
              </w:rPr>
              <w:t>Post resources by category</w:t>
            </w:r>
          </w:p>
        </w:tc>
      </w:tr>
      <w:tr w:rsidR="00EA185F" w:rsidRPr="007003B2" w14:paraId="13438B06" w14:textId="77777777" w:rsidTr="00EF5A7F">
        <w:tc>
          <w:tcPr>
            <w:tcW w:w="2385" w:type="dxa"/>
            <w:shd w:val="clear" w:color="auto" w:fill="auto"/>
            <w:vAlign w:val="bottom"/>
          </w:tcPr>
          <w:p w14:paraId="1398042C" w14:textId="77777777" w:rsidR="00EA185F" w:rsidRPr="007003B2" w:rsidRDefault="00EA185F" w:rsidP="00206464">
            <w:pPr>
              <w:tabs>
                <w:tab w:val="left" w:pos="288"/>
                <w:tab w:val="left" w:pos="576"/>
                <w:tab w:val="left" w:pos="864"/>
                <w:tab w:val="left" w:pos="1152"/>
              </w:tabs>
              <w:spacing w:before="40" w:after="40" w:line="210" w:lineRule="exact"/>
              <w:ind w:right="40"/>
              <w:rPr>
                <w:sz w:val="17"/>
                <w:lang w:val="en-GB"/>
              </w:rPr>
            </w:pPr>
            <w:r w:rsidRPr="007003B2">
              <w:rPr>
                <w:sz w:val="17"/>
                <w:lang w:val="en-GB"/>
              </w:rPr>
              <w:t>Professional and higher</w:t>
            </w:r>
          </w:p>
        </w:tc>
        <w:tc>
          <w:tcPr>
            <w:tcW w:w="945" w:type="dxa"/>
            <w:shd w:val="clear" w:color="auto" w:fill="auto"/>
            <w:vAlign w:val="bottom"/>
          </w:tcPr>
          <w:p w14:paraId="49E4B904"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p>
        </w:tc>
        <w:tc>
          <w:tcPr>
            <w:tcW w:w="1080" w:type="dxa"/>
            <w:shd w:val="clear" w:color="auto" w:fill="auto"/>
            <w:vAlign w:val="bottom"/>
          </w:tcPr>
          <w:p w14:paraId="669AAEA9"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12</w:t>
            </w:r>
          </w:p>
        </w:tc>
        <w:tc>
          <w:tcPr>
            <w:tcW w:w="990" w:type="dxa"/>
            <w:shd w:val="clear" w:color="auto" w:fill="auto"/>
            <w:vAlign w:val="bottom"/>
          </w:tcPr>
          <w:p w14:paraId="572B6BED"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00" w:type="dxa"/>
            <w:shd w:val="clear" w:color="auto" w:fill="auto"/>
            <w:vAlign w:val="bottom"/>
          </w:tcPr>
          <w:p w14:paraId="37D83778"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00" w:type="dxa"/>
            <w:shd w:val="clear" w:color="auto" w:fill="auto"/>
            <w:vAlign w:val="bottom"/>
          </w:tcPr>
          <w:p w14:paraId="7CD4BE4C"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w:t>
            </w:r>
          </w:p>
        </w:tc>
        <w:tc>
          <w:tcPr>
            <w:tcW w:w="833" w:type="dxa"/>
            <w:shd w:val="clear" w:color="auto" w:fill="auto"/>
            <w:vAlign w:val="bottom"/>
          </w:tcPr>
          <w:p w14:paraId="0895634C"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w:t>
            </w:r>
          </w:p>
        </w:tc>
        <w:tc>
          <w:tcPr>
            <w:tcW w:w="935" w:type="dxa"/>
            <w:shd w:val="clear" w:color="auto" w:fill="auto"/>
            <w:vAlign w:val="bottom"/>
          </w:tcPr>
          <w:p w14:paraId="660F0D7C"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(8)</w:t>
            </w:r>
          </w:p>
        </w:tc>
        <w:tc>
          <w:tcPr>
            <w:tcW w:w="878" w:type="dxa"/>
            <w:shd w:val="clear" w:color="auto" w:fill="auto"/>
            <w:vAlign w:val="bottom"/>
          </w:tcPr>
          <w:p w14:paraId="6A8534B2"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 xml:space="preserve">11 </w:t>
            </w:r>
          </w:p>
        </w:tc>
      </w:tr>
      <w:tr w:rsidR="00EA185F" w:rsidRPr="007003B2" w14:paraId="2A07516A" w14:textId="77777777" w:rsidTr="00EF5A7F">
        <w:tc>
          <w:tcPr>
            <w:tcW w:w="2385" w:type="dxa"/>
            <w:tcBorders>
              <w:bottom w:val="single" w:sz="4" w:space="0" w:color="auto"/>
            </w:tcBorders>
            <w:shd w:val="clear" w:color="auto" w:fill="auto"/>
            <w:vAlign w:val="bottom"/>
          </w:tcPr>
          <w:p w14:paraId="21393069" w14:textId="77777777" w:rsidR="00EA185F" w:rsidRPr="007003B2" w:rsidRDefault="00EA185F" w:rsidP="00206464">
            <w:pPr>
              <w:tabs>
                <w:tab w:val="left" w:pos="288"/>
                <w:tab w:val="left" w:pos="576"/>
                <w:tab w:val="left" w:pos="864"/>
                <w:tab w:val="left" w:pos="1152"/>
              </w:tabs>
              <w:spacing w:before="40" w:after="81" w:line="210" w:lineRule="exact"/>
              <w:ind w:right="40"/>
              <w:rPr>
                <w:sz w:val="17"/>
                <w:lang w:val="en-GB"/>
              </w:rPr>
            </w:pPr>
            <w:r w:rsidRPr="007003B2">
              <w:rPr>
                <w:sz w:val="17"/>
                <w:lang w:val="en-GB"/>
              </w:rPr>
              <w:t>General Service and related</w:t>
            </w:r>
          </w:p>
        </w:tc>
        <w:tc>
          <w:tcPr>
            <w:tcW w:w="945" w:type="dxa"/>
            <w:tcBorders>
              <w:bottom w:val="single" w:sz="4" w:space="0" w:color="auto"/>
            </w:tcBorders>
            <w:shd w:val="clear" w:color="auto" w:fill="auto"/>
            <w:vAlign w:val="bottom"/>
          </w:tcPr>
          <w:p w14:paraId="2A02EDB5"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p>
        </w:tc>
        <w:tc>
          <w:tcPr>
            <w:tcW w:w="1080" w:type="dxa"/>
            <w:tcBorders>
              <w:bottom w:val="single" w:sz="4" w:space="0" w:color="auto"/>
            </w:tcBorders>
            <w:shd w:val="clear" w:color="auto" w:fill="auto"/>
            <w:vAlign w:val="bottom"/>
          </w:tcPr>
          <w:p w14:paraId="4D66101F"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5</w:t>
            </w:r>
          </w:p>
        </w:tc>
        <w:tc>
          <w:tcPr>
            <w:tcW w:w="990" w:type="dxa"/>
            <w:tcBorders>
              <w:bottom w:val="single" w:sz="4" w:space="0" w:color="auto"/>
            </w:tcBorders>
            <w:shd w:val="clear" w:color="auto" w:fill="auto"/>
            <w:vAlign w:val="bottom"/>
          </w:tcPr>
          <w:p w14:paraId="5F854728"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00" w:type="dxa"/>
            <w:tcBorders>
              <w:bottom w:val="single" w:sz="4" w:space="0" w:color="auto"/>
            </w:tcBorders>
            <w:shd w:val="clear" w:color="auto" w:fill="auto"/>
            <w:vAlign w:val="bottom"/>
          </w:tcPr>
          <w:p w14:paraId="1707B7D4"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00" w:type="dxa"/>
            <w:tcBorders>
              <w:bottom w:val="single" w:sz="4" w:space="0" w:color="auto"/>
            </w:tcBorders>
            <w:shd w:val="clear" w:color="auto" w:fill="auto"/>
            <w:vAlign w:val="bottom"/>
          </w:tcPr>
          <w:p w14:paraId="1E2401E1"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33" w:type="dxa"/>
            <w:tcBorders>
              <w:bottom w:val="single" w:sz="4" w:space="0" w:color="auto"/>
            </w:tcBorders>
            <w:shd w:val="clear" w:color="auto" w:fill="auto"/>
            <w:vAlign w:val="bottom"/>
          </w:tcPr>
          <w:p w14:paraId="6668E19D"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35" w:type="dxa"/>
            <w:tcBorders>
              <w:bottom w:val="single" w:sz="4" w:space="0" w:color="auto"/>
            </w:tcBorders>
            <w:shd w:val="clear" w:color="auto" w:fill="auto"/>
            <w:vAlign w:val="bottom"/>
          </w:tcPr>
          <w:p w14:paraId="60A42BCF"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78" w:type="dxa"/>
            <w:tcBorders>
              <w:bottom w:val="single" w:sz="4" w:space="0" w:color="auto"/>
            </w:tcBorders>
            <w:shd w:val="clear" w:color="auto" w:fill="auto"/>
            <w:vAlign w:val="bottom"/>
          </w:tcPr>
          <w:p w14:paraId="153193FF"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 xml:space="preserve">5 </w:t>
            </w:r>
          </w:p>
        </w:tc>
      </w:tr>
      <w:tr w:rsidR="00EA185F" w:rsidRPr="007003B2" w14:paraId="57B727AD" w14:textId="77777777" w:rsidTr="00EF5A7F">
        <w:tc>
          <w:tcPr>
            <w:tcW w:w="2385" w:type="dxa"/>
            <w:tcBorders>
              <w:top w:val="single" w:sz="4" w:space="0" w:color="auto"/>
              <w:bottom w:val="single" w:sz="12" w:space="0" w:color="auto"/>
            </w:tcBorders>
            <w:shd w:val="clear" w:color="auto" w:fill="auto"/>
            <w:vAlign w:val="bottom"/>
          </w:tcPr>
          <w:p w14:paraId="75CB16B0" w14:textId="77777777" w:rsidR="00EA185F" w:rsidRPr="007003B2" w:rsidRDefault="00EA185F" w:rsidP="00206464">
            <w:pPr>
              <w:tabs>
                <w:tab w:val="left" w:pos="288"/>
                <w:tab w:val="left" w:pos="576"/>
                <w:tab w:val="left" w:pos="864"/>
                <w:tab w:val="left" w:pos="1152"/>
              </w:tabs>
              <w:spacing w:before="81" w:after="81" w:line="210" w:lineRule="exact"/>
              <w:ind w:left="288" w:right="40"/>
              <w:rPr>
                <w:b/>
                <w:sz w:val="17"/>
                <w:lang w:val="en-GB"/>
              </w:rPr>
            </w:pPr>
            <w:r w:rsidRPr="007003B2">
              <w:rPr>
                <w:b/>
                <w:sz w:val="17"/>
                <w:lang w:val="en-GB"/>
              </w:rPr>
              <w:t>Total</w:t>
            </w:r>
          </w:p>
        </w:tc>
        <w:tc>
          <w:tcPr>
            <w:tcW w:w="945" w:type="dxa"/>
            <w:tcBorders>
              <w:top w:val="single" w:sz="4" w:space="0" w:color="auto"/>
              <w:bottom w:val="single" w:sz="12" w:space="0" w:color="auto"/>
            </w:tcBorders>
            <w:shd w:val="clear" w:color="auto" w:fill="auto"/>
            <w:vAlign w:val="bottom"/>
          </w:tcPr>
          <w:p w14:paraId="0B324D36"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p>
        </w:tc>
        <w:tc>
          <w:tcPr>
            <w:tcW w:w="1080" w:type="dxa"/>
            <w:tcBorders>
              <w:top w:val="single" w:sz="4" w:space="0" w:color="auto"/>
              <w:bottom w:val="single" w:sz="12" w:space="0" w:color="auto"/>
            </w:tcBorders>
            <w:shd w:val="clear" w:color="auto" w:fill="auto"/>
            <w:vAlign w:val="bottom"/>
          </w:tcPr>
          <w:p w14:paraId="23C8BA0E"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17</w:t>
            </w:r>
          </w:p>
        </w:tc>
        <w:tc>
          <w:tcPr>
            <w:tcW w:w="990" w:type="dxa"/>
            <w:tcBorders>
              <w:top w:val="single" w:sz="4" w:space="0" w:color="auto"/>
              <w:bottom w:val="single" w:sz="12" w:space="0" w:color="auto"/>
            </w:tcBorders>
            <w:shd w:val="clear" w:color="auto" w:fill="auto"/>
            <w:vAlign w:val="bottom"/>
          </w:tcPr>
          <w:p w14:paraId="66966FB8"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900" w:type="dxa"/>
            <w:tcBorders>
              <w:top w:val="single" w:sz="4" w:space="0" w:color="auto"/>
              <w:bottom w:val="single" w:sz="12" w:space="0" w:color="auto"/>
            </w:tcBorders>
            <w:shd w:val="clear" w:color="auto" w:fill="auto"/>
            <w:vAlign w:val="bottom"/>
          </w:tcPr>
          <w:p w14:paraId="3448CE5F"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900" w:type="dxa"/>
            <w:tcBorders>
              <w:top w:val="single" w:sz="4" w:space="0" w:color="auto"/>
              <w:bottom w:val="single" w:sz="12" w:space="0" w:color="auto"/>
            </w:tcBorders>
            <w:shd w:val="clear" w:color="auto" w:fill="auto"/>
            <w:vAlign w:val="bottom"/>
          </w:tcPr>
          <w:p w14:paraId="6821D4E5"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w:t>
            </w:r>
          </w:p>
        </w:tc>
        <w:tc>
          <w:tcPr>
            <w:tcW w:w="833" w:type="dxa"/>
            <w:tcBorders>
              <w:top w:val="single" w:sz="4" w:space="0" w:color="auto"/>
              <w:bottom w:val="single" w:sz="12" w:space="0" w:color="auto"/>
            </w:tcBorders>
            <w:shd w:val="clear" w:color="auto" w:fill="auto"/>
            <w:vAlign w:val="bottom"/>
          </w:tcPr>
          <w:p w14:paraId="74F152D8"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w:t>
            </w:r>
          </w:p>
        </w:tc>
        <w:tc>
          <w:tcPr>
            <w:tcW w:w="935" w:type="dxa"/>
            <w:tcBorders>
              <w:top w:val="single" w:sz="4" w:space="0" w:color="auto"/>
              <w:bottom w:val="single" w:sz="12" w:space="0" w:color="auto"/>
            </w:tcBorders>
            <w:shd w:val="clear" w:color="auto" w:fill="auto"/>
            <w:vAlign w:val="bottom"/>
          </w:tcPr>
          <w:p w14:paraId="690419C2"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(6)</w:t>
            </w:r>
          </w:p>
        </w:tc>
        <w:tc>
          <w:tcPr>
            <w:tcW w:w="878" w:type="dxa"/>
            <w:tcBorders>
              <w:top w:val="single" w:sz="4" w:space="0" w:color="auto"/>
              <w:bottom w:val="single" w:sz="12" w:space="0" w:color="auto"/>
            </w:tcBorders>
            <w:shd w:val="clear" w:color="auto" w:fill="auto"/>
            <w:vAlign w:val="bottom"/>
          </w:tcPr>
          <w:p w14:paraId="5D5D19E4"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 xml:space="preserve">16 </w:t>
            </w:r>
          </w:p>
        </w:tc>
      </w:tr>
    </w:tbl>
    <w:p w14:paraId="287A0E9C"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D8F4CB0"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9818A11" w14:textId="77777777" w:rsidR="00EF5A7F" w:rsidRDefault="00EF5A7F">
      <w:pPr>
        <w:suppressAutoHyphens w:val="0"/>
        <w:spacing w:after="200" w:line="276" w:lineRule="auto"/>
        <w:rPr>
          <w:bCs/>
        </w:rPr>
      </w:pPr>
      <w:r>
        <w:rPr>
          <w:b/>
          <w:bCs/>
        </w:rPr>
        <w:br w:type="page"/>
      </w:r>
    </w:p>
    <w:p w14:paraId="2D7DE9DC" w14:textId="00B48C93"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7003B2">
        <w:rPr>
          <w:b w:val="0"/>
          <w:bCs/>
          <w:lang w:val="en-GB"/>
        </w:rPr>
        <w:lastRenderedPageBreak/>
        <w:t>Figure 15.XVII</w:t>
      </w:r>
    </w:p>
    <w:p w14:paraId="52816261"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Subprogramme 2: distribution of proposed resources for 2022 (before recosting)</w:t>
      </w:r>
    </w:p>
    <w:p w14:paraId="48A80BB0"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 xml:space="preserve">(Number of posts/thousands of United States dollars) </w:t>
      </w:r>
    </w:p>
    <w:p w14:paraId="71D540B7" w14:textId="41CF8614"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D20AE42" w14:textId="566015E7" w:rsidR="00EA185F" w:rsidRPr="007003B2" w:rsidRDefault="00EF5A7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lang w:val="en-US"/>
        </w:rPr>
        <w:drawing>
          <wp:anchor distT="0" distB="0" distL="114300" distR="114300" simplePos="0" relativeHeight="251699200" behindDoc="0" locked="0" layoutInCell="1" allowOverlap="1" wp14:anchorId="33E534D9" wp14:editId="0A243884">
            <wp:simplePos x="0" y="0"/>
            <wp:positionH relativeFrom="margin">
              <wp:align>right</wp:align>
            </wp:positionH>
            <wp:positionV relativeFrom="paragraph">
              <wp:posOffset>80645</wp:posOffset>
            </wp:positionV>
            <wp:extent cx="6257925" cy="3215640"/>
            <wp:effectExtent l="0" t="0" r="9525" b="3810"/>
            <wp:wrapTopAndBottom/>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9">
                      <a:extLst>
                        <a:ext uri="{28A0092B-C50C-407E-A947-70E740481C1C}">
                          <a14:useLocalDpi xmlns:a14="http://schemas.microsoft.com/office/drawing/2010/main" val="0"/>
                        </a:ext>
                      </a:extLst>
                    </a:blip>
                    <a:srcRect l="16368" r="16520" b="8561"/>
                    <a:stretch/>
                  </pic:blipFill>
                  <pic:spPr bwMode="auto">
                    <a:xfrm>
                      <a:off x="0" y="0"/>
                      <a:ext cx="6257925" cy="32156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38E747"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E0D5D51"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1C1D40E"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7003B2">
        <w:rPr>
          <w:lang w:val="en-GB"/>
        </w:rPr>
        <w:t>Extrabudgetary resources</w:t>
      </w:r>
    </w:p>
    <w:p w14:paraId="53F0D8A7"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9B46804" w14:textId="5E21425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w:t>
      </w:r>
      <w:r w:rsidR="007B5582">
        <w:t>59</w:t>
      </w:r>
      <w:r w:rsidRPr="007003B2">
        <w:tab/>
        <w:t>Extrabudgetary resources for the subprogramme are estimated at $38,006,200 and would provide for 12 posts (2 D-1, 2 P-5, 4 P-4, 3 P-3 and 1 LL), as well as non-post resources. The resources would be used mainly to implement technical cooperation projects with requesting countries in order to develop innovative solutions to address key urban challenges and to prepare people-centred, “smart city” strategies aimed at reducing the digital divide and improving the quality of life of urban dwellers. Given the impact of the pandemic, subprogramme 2, in conjunction with other subprogrammes, mainly subprogrammes 1 and 4, will contribute to the pursuit of holistic responses to better support cities in their efforts to overcome the adversity and the economic and social challenges resulting from the pandemic. Under the subprogramme, UN-Habitat will work with cities to generate improved spatial data in real time on the local social and economic impact of COVID</w:t>
      </w:r>
      <w:r w:rsidRPr="007003B2">
        <w:noBreakHyphen/>
        <w:t>19, and to channel this evidence into the formulation of strengthened national and subnational urban policies and local urban recovery interventions. In addition, under the subprogramme, UN-Habitat will continue to support cities in their efforts to strengthen own-source revenue generation and to support regions in their efforts to strengthen urban-rural linkages in order to enhance local economic recovery and increase basic infrastructure provision. Furthermore, under the subprogramme, UN</w:t>
      </w:r>
      <w:r w:rsidRPr="007003B2">
        <w:noBreakHyphen/>
        <w:t xml:space="preserve">Habitat intends to use extrabudgetary resources to promote people-centred, “smart city” strategies and challenge-driven innovation in order to accelerate COVID-19 recovery and build resilience in cities. </w:t>
      </w:r>
    </w:p>
    <w:p w14:paraId="79074A20" w14:textId="01FF4E35"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15.16</w:t>
      </w:r>
      <w:r w:rsidR="007B5582">
        <w:t>0</w:t>
      </w:r>
      <w:r w:rsidRPr="007003B2">
        <w:tab/>
        <w:t xml:space="preserve">The expected decrease of $8,525,100 is attributable mainly to the reallocation of extrabudgetary resources across the four subprogrammes after the analysis of the resource requirements for each strategic area and of the strategic priorities of UN-Habitat, driven by the express needs of Member States. There is significant increased demand worldwide for projects that promote strengthened climate action and improved urban environment, which is the domain of subprogramme 3. </w:t>
      </w:r>
    </w:p>
    <w:p w14:paraId="27B3A450"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1B3601D"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97B0436" w14:textId="77777777" w:rsidR="00EA185F" w:rsidRPr="007003B2" w:rsidRDefault="00EA185F" w:rsidP="00EA185F">
      <w:pPr>
        <w:pStyle w:val="H1"/>
        <w:ind w:left="2534" w:right="1260"/>
      </w:pPr>
      <w:r w:rsidRPr="007003B2">
        <w:lastRenderedPageBreak/>
        <w:tab/>
        <w:t>Subprogramme 3</w:t>
      </w:r>
    </w:p>
    <w:p w14:paraId="0F5D76FE" w14:textId="77777777" w:rsidR="00EA185F" w:rsidRPr="007003B2" w:rsidRDefault="00EA185F" w:rsidP="00EA185F">
      <w:pPr>
        <w:pStyle w:val="H1"/>
        <w:ind w:left="2534" w:right="1260"/>
      </w:pPr>
      <w:r w:rsidRPr="007003B2">
        <w:t xml:space="preserve">Strengthened climate action and improved urban environment </w:t>
      </w:r>
    </w:p>
    <w:p w14:paraId="0FAAACEB"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1B86128"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973EE55" w14:textId="7E018ECC"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15.16</w:t>
      </w:r>
      <w:r w:rsidR="007B5582">
        <w:t>1</w:t>
      </w:r>
      <w:r w:rsidRPr="007003B2">
        <w:tab/>
        <w:t>The proposed regular budget resources for 2022 amount to $2,424,700 and reflect a net increase of $75,500 compared with the appropriation for 2021. The proposed increase is explained in paragraphs 15.13</w:t>
      </w:r>
      <w:r w:rsidR="006A45EB">
        <w:t>2</w:t>
      </w:r>
      <w:r w:rsidRPr="007003B2">
        <w:t>, 15.13</w:t>
      </w:r>
      <w:r w:rsidR="006A45EB">
        <w:t>3</w:t>
      </w:r>
      <w:r w:rsidRPr="007003B2">
        <w:t xml:space="preserve"> (c) and 15.13</w:t>
      </w:r>
      <w:r w:rsidR="006A45EB">
        <w:t>4</w:t>
      </w:r>
      <w:r w:rsidRPr="007003B2">
        <w:t xml:space="preserve"> (d). Additional details on the distribution of the proposed resources for 2022 are reflected in table 15.23 and figure 15.XVIII.</w:t>
      </w:r>
    </w:p>
    <w:p w14:paraId="2F8B1290"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553F66F"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7003B2">
        <w:rPr>
          <w:b w:val="0"/>
          <w:bCs/>
          <w:lang w:val="en-GB"/>
        </w:rPr>
        <w:t>Table 15.23</w:t>
      </w:r>
    </w:p>
    <w:p w14:paraId="0121A4D2"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Subprogramme 3: evolution of financial and post resources</w:t>
      </w:r>
    </w:p>
    <w:p w14:paraId="02BCAB04"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(Thousands of United States dollars/number of posts)</w:t>
      </w:r>
    </w:p>
    <w:p w14:paraId="1AF957B4"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AA6498C"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94"/>
        <w:gridCol w:w="972"/>
        <w:gridCol w:w="1044"/>
        <w:gridCol w:w="1080"/>
        <w:gridCol w:w="990"/>
        <w:gridCol w:w="810"/>
        <w:gridCol w:w="810"/>
        <w:gridCol w:w="900"/>
        <w:gridCol w:w="846"/>
      </w:tblGrid>
      <w:tr w:rsidR="00EA185F" w:rsidRPr="007003B2" w14:paraId="58711254" w14:textId="77777777" w:rsidTr="00EF5A7F">
        <w:trPr>
          <w:tblHeader/>
        </w:trPr>
        <w:tc>
          <w:tcPr>
            <w:tcW w:w="2394" w:type="dxa"/>
            <w:tcBorders>
              <w:top w:val="single" w:sz="4" w:space="0" w:color="auto"/>
            </w:tcBorders>
            <w:shd w:val="clear" w:color="auto" w:fill="auto"/>
            <w:vAlign w:val="bottom"/>
          </w:tcPr>
          <w:p w14:paraId="08607769" w14:textId="77777777" w:rsidR="00EA185F" w:rsidRPr="007003B2" w:rsidRDefault="00EA185F" w:rsidP="00206464">
            <w:pPr>
              <w:spacing w:before="81" w:after="81" w:line="160" w:lineRule="exact"/>
              <w:ind w:right="40"/>
              <w:rPr>
                <w:i/>
                <w:sz w:val="14"/>
                <w:lang w:val="en-GB"/>
              </w:rPr>
            </w:pPr>
          </w:p>
        </w:tc>
        <w:tc>
          <w:tcPr>
            <w:tcW w:w="972" w:type="dxa"/>
            <w:tcBorders>
              <w:top w:val="single" w:sz="4" w:space="0" w:color="auto"/>
            </w:tcBorders>
            <w:shd w:val="clear" w:color="auto" w:fill="auto"/>
            <w:vAlign w:val="bottom"/>
          </w:tcPr>
          <w:p w14:paraId="77D1B662" w14:textId="77777777" w:rsidR="00EA185F" w:rsidRPr="007003B2" w:rsidRDefault="00EA185F" w:rsidP="00206464">
            <w:pPr>
              <w:spacing w:before="81" w:after="81" w:line="160" w:lineRule="exact"/>
              <w:ind w:left="144" w:right="40"/>
              <w:jc w:val="right"/>
              <w:rPr>
                <w:i/>
                <w:sz w:val="14"/>
                <w:lang w:val="en-GB"/>
              </w:rPr>
            </w:pPr>
          </w:p>
        </w:tc>
        <w:tc>
          <w:tcPr>
            <w:tcW w:w="1044" w:type="dxa"/>
            <w:tcBorders>
              <w:top w:val="single" w:sz="4" w:space="0" w:color="auto"/>
            </w:tcBorders>
            <w:shd w:val="clear" w:color="auto" w:fill="auto"/>
            <w:vAlign w:val="bottom"/>
          </w:tcPr>
          <w:p w14:paraId="434EB321" w14:textId="77777777" w:rsidR="00EA185F" w:rsidRPr="007003B2" w:rsidRDefault="00EA185F" w:rsidP="00206464">
            <w:pPr>
              <w:spacing w:before="81" w:after="81" w:line="160" w:lineRule="exact"/>
              <w:ind w:left="144" w:right="40"/>
              <w:jc w:val="right"/>
              <w:rPr>
                <w:i/>
                <w:sz w:val="14"/>
                <w:lang w:val="en-GB"/>
              </w:rPr>
            </w:pPr>
          </w:p>
        </w:tc>
        <w:tc>
          <w:tcPr>
            <w:tcW w:w="4590" w:type="dxa"/>
            <w:gridSpan w:val="5"/>
            <w:tcBorders>
              <w:top w:val="single" w:sz="4" w:space="0" w:color="auto"/>
              <w:bottom w:val="single" w:sz="4" w:space="0" w:color="auto"/>
            </w:tcBorders>
            <w:shd w:val="clear" w:color="auto" w:fill="auto"/>
            <w:vAlign w:val="bottom"/>
          </w:tcPr>
          <w:p w14:paraId="3D3AD7A0" w14:textId="77777777" w:rsidR="00EA185F" w:rsidRPr="007003B2" w:rsidRDefault="00EA185F" w:rsidP="00206464">
            <w:pPr>
              <w:spacing w:before="81" w:after="81" w:line="160" w:lineRule="exact"/>
              <w:ind w:left="144" w:right="40"/>
              <w:jc w:val="center"/>
              <w:rPr>
                <w:i/>
                <w:sz w:val="14"/>
                <w:lang w:val="en-GB"/>
              </w:rPr>
            </w:pPr>
            <w:r w:rsidRPr="007003B2">
              <w:rPr>
                <w:i/>
                <w:sz w:val="14"/>
                <w:lang w:val="en-GB"/>
              </w:rPr>
              <w:t>Changes</w:t>
            </w:r>
          </w:p>
        </w:tc>
        <w:tc>
          <w:tcPr>
            <w:tcW w:w="846" w:type="dxa"/>
            <w:vMerge w:val="restart"/>
            <w:tcBorders>
              <w:top w:val="single" w:sz="4" w:space="0" w:color="auto"/>
            </w:tcBorders>
            <w:shd w:val="clear" w:color="auto" w:fill="auto"/>
            <w:vAlign w:val="bottom"/>
          </w:tcPr>
          <w:p w14:paraId="156ED86A"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2022 estimate (before recosting)</w:t>
            </w:r>
          </w:p>
        </w:tc>
      </w:tr>
      <w:tr w:rsidR="00EA185F" w:rsidRPr="007003B2" w14:paraId="0EF0A876" w14:textId="77777777" w:rsidTr="00EF5A7F">
        <w:trPr>
          <w:tblHeader/>
        </w:trPr>
        <w:tc>
          <w:tcPr>
            <w:tcW w:w="2394" w:type="dxa"/>
            <w:tcBorders>
              <w:bottom w:val="single" w:sz="12" w:space="0" w:color="auto"/>
            </w:tcBorders>
            <w:shd w:val="clear" w:color="auto" w:fill="auto"/>
            <w:vAlign w:val="bottom"/>
          </w:tcPr>
          <w:p w14:paraId="04D906B9" w14:textId="77777777" w:rsidR="00EA185F" w:rsidRPr="007003B2" w:rsidRDefault="00EA185F" w:rsidP="00206464">
            <w:pPr>
              <w:spacing w:before="81" w:after="81" w:line="160" w:lineRule="exact"/>
              <w:ind w:right="40"/>
              <w:rPr>
                <w:i/>
                <w:sz w:val="14"/>
                <w:lang w:val="en-GB"/>
              </w:rPr>
            </w:pPr>
          </w:p>
        </w:tc>
        <w:tc>
          <w:tcPr>
            <w:tcW w:w="972" w:type="dxa"/>
            <w:tcBorders>
              <w:bottom w:val="single" w:sz="12" w:space="0" w:color="auto"/>
            </w:tcBorders>
            <w:shd w:val="clear" w:color="auto" w:fill="auto"/>
            <w:vAlign w:val="bottom"/>
          </w:tcPr>
          <w:p w14:paraId="14E39165"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2020 expenditure</w:t>
            </w:r>
          </w:p>
        </w:tc>
        <w:tc>
          <w:tcPr>
            <w:tcW w:w="1044" w:type="dxa"/>
            <w:tcBorders>
              <w:bottom w:val="single" w:sz="12" w:space="0" w:color="auto"/>
            </w:tcBorders>
            <w:shd w:val="clear" w:color="auto" w:fill="auto"/>
            <w:vAlign w:val="bottom"/>
          </w:tcPr>
          <w:p w14:paraId="794D8D47"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2021 appropriation</w:t>
            </w:r>
          </w:p>
        </w:tc>
        <w:tc>
          <w:tcPr>
            <w:tcW w:w="1080" w:type="dxa"/>
            <w:tcBorders>
              <w:top w:val="single" w:sz="4" w:space="0" w:color="auto"/>
              <w:bottom w:val="single" w:sz="12" w:space="0" w:color="auto"/>
            </w:tcBorders>
            <w:shd w:val="clear" w:color="auto" w:fill="auto"/>
            <w:vAlign w:val="bottom"/>
          </w:tcPr>
          <w:p w14:paraId="2F31E8D6"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Technical adjustments</w:t>
            </w:r>
          </w:p>
        </w:tc>
        <w:tc>
          <w:tcPr>
            <w:tcW w:w="990" w:type="dxa"/>
            <w:tcBorders>
              <w:top w:val="single" w:sz="4" w:space="0" w:color="auto"/>
              <w:bottom w:val="single" w:sz="12" w:space="0" w:color="auto"/>
            </w:tcBorders>
            <w:shd w:val="clear" w:color="auto" w:fill="auto"/>
            <w:vAlign w:val="bottom"/>
          </w:tcPr>
          <w:p w14:paraId="28BE1FF4"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New/ expanded mandates</w:t>
            </w:r>
          </w:p>
        </w:tc>
        <w:tc>
          <w:tcPr>
            <w:tcW w:w="810" w:type="dxa"/>
            <w:tcBorders>
              <w:top w:val="single" w:sz="4" w:space="0" w:color="auto"/>
              <w:bottom w:val="single" w:sz="12" w:space="0" w:color="auto"/>
            </w:tcBorders>
            <w:shd w:val="clear" w:color="auto" w:fill="auto"/>
            <w:vAlign w:val="bottom"/>
          </w:tcPr>
          <w:p w14:paraId="20DC8EB0"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Other</w:t>
            </w:r>
          </w:p>
        </w:tc>
        <w:tc>
          <w:tcPr>
            <w:tcW w:w="810" w:type="dxa"/>
            <w:tcBorders>
              <w:top w:val="single" w:sz="4" w:space="0" w:color="auto"/>
              <w:bottom w:val="single" w:sz="12" w:space="0" w:color="auto"/>
            </w:tcBorders>
            <w:shd w:val="clear" w:color="auto" w:fill="auto"/>
            <w:vAlign w:val="bottom"/>
          </w:tcPr>
          <w:p w14:paraId="485AAE82"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Total</w:t>
            </w:r>
          </w:p>
        </w:tc>
        <w:tc>
          <w:tcPr>
            <w:tcW w:w="900" w:type="dxa"/>
            <w:tcBorders>
              <w:top w:val="single" w:sz="4" w:space="0" w:color="auto"/>
              <w:bottom w:val="single" w:sz="12" w:space="0" w:color="auto"/>
            </w:tcBorders>
            <w:shd w:val="clear" w:color="auto" w:fill="auto"/>
            <w:vAlign w:val="bottom"/>
          </w:tcPr>
          <w:p w14:paraId="59E59062"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Percentage</w:t>
            </w:r>
          </w:p>
        </w:tc>
        <w:tc>
          <w:tcPr>
            <w:tcW w:w="846" w:type="dxa"/>
            <w:vMerge/>
            <w:tcBorders>
              <w:bottom w:val="single" w:sz="12" w:space="0" w:color="auto"/>
            </w:tcBorders>
            <w:shd w:val="clear" w:color="auto" w:fill="auto"/>
            <w:vAlign w:val="bottom"/>
          </w:tcPr>
          <w:p w14:paraId="56E0F3AA" w14:textId="77777777" w:rsidR="00EA185F" w:rsidRPr="007003B2" w:rsidRDefault="00EA185F" w:rsidP="00206464">
            <w:pPr>
              <w:spacing w:before="81" w:after="81" w:line="160" w:lineRule="exact"/>
              <w:ind w:left="144" w:right="40"/>
              <w:jc w:val="right"/>
              <w:rPr>
                <w:i/>
                <w:sz w:val="14"/>
                <w:lang w:val="en-GB"/>
              </w:rPr>
            </w:pPr>
          </w:p>
        </w:tc>
      </w:tr>
      <w:tr w:rsidR="00EA185F" w:rsidRPr="007003B2" w14:paraId="5E0540BA" w14:textId="77777777" w:rsidTr="00EF5A7F">
        <w:trPr>
          <w:trHeight w:hRule="exact" w:val="115"/>
          <w:tblHeader/>
        </w:trPr>
        <w:tc>
          <w:tcPr>
            <w:tcW w:w="2394" w:type="dxa"/>
            <w:tcBorders>
              <w:top w:val="single" w:sz="12" w:space="0" w:color="auto"/>
            </w:tcBorders>
            <w:shd w:val="clear" w:color="auto" w:fill="auto"/>
            <w:vAlign w:val="bottom"/>
          </w:tcPr>
          <w:p w14:paraId="417B7954" w14:textId="77777777" w:rsidR="00EA185F" w:rsidRPr="007003B2" w:rsidRDefault="00EA185F" w:rsidP="00206464">
            <w:pPr>
              <w:spacing w:before="40" w:after="40" w:line="210" w:lineRule="exact"/>
              <w:ind w:right="40"/>
              <w:rPr>
                <w:sz w:val="17"/>
                <w:lang w:val="en-GB"/>
              </w:rPr>
            </w:pPr>
          </w:p>
        </w:tc>
        <w:tc>
          <w:tcPr>
            <w:tcW w:w="972" w:type="dxa"/>
            <w:tcBorders>
              <w:top w:val="single" w:sz="12" w:space="0" w:color="auto"/>
            </w:tcBorders>
            <w:shd w:val="clear" w:color="auto" w:fill="auto"/>
            <w:vAlign w:val="bottom"/>
          </w:tcPr>
          <w:p w14:paraId="38EA69C7" w14:textId="77777777" w:rsidR="00EA185F" w:rsidRPr="007003B2" w:rsidRDefault="00EA185F" w:rsidP="00206464">
            <w:pPr>
              <w:spacing w:before="40" w:after="40" w:line="210" w:lineRule="exact"/>
              <w:ind w:left="144" w:right="40"/>
              <w:jc w:val="right"/>
              <w:rPr>
                <w:sz w:val="17"/>
                <w:lang w:val="en-GB"/>
              </w:rPr>
            </w:pPr>
          </w:p>
        </w:tc>
        <w:tc>
          <w:tcPr>
            <w:tcW w:w="1044" w:type="dxa"/>
            <w:tcBorders>
              <w:top w:val="single" w:sz="12" w:space="0" w:color="auto"/>
            </w:tcBorders>
            <w:shd w:val="clear" w:color="auto" w:fill="auto"/>
            <w:vAlign w:val="bottom"/>
          </w:tcPr>
          <w:p w14:paraId="13E8BE1A" w14:textId="77777777" w:rsidR="00EA185F" w:rsidRPr="007003B2" w:rsidRDefault="00EA185F" w:rsidP="00206464">
            <w:pPr>
              <w:spacing w:before="40" w:after="40" w:line="210" w:lineRule="exact"/>
              <w:ind w:left="144" w:right="40"/>
              <w:jc w:val="right"/>
              <w:rPr>
                <w:sz w:val="17"/>
                <w:lang w:val="en-GB"/>
              </w:rPr>
            </w:pPr>
          </w:p>
        </w:tc>
        <w:tc>
          <w:tcPr>
            <w:tcW w:w="1080" w:type="dxa"/>
            <w:tcBorders>
              <w:top w:val="single" w:sz="12" w:space="0" w:color="auto"/>
            </w:tcBorders>
            <w:shd w:val="clear" w:color="auto" w:fill="auto"/>
            <w:vAlign w:val="bottom"/>
          </w:tcPr>
          <w:p w14:paraId="62D1B7DF" w14:textId="77777777" w:rsidR="00EA185F" w:rsidRPr="007003B2" w:rsidRDefault="00EA185F" w:rsidP="00206464">
            <w:pPr>
              <w:spacing w:before="40" w:after="40" w:line="210" w:lineRule="exact"/>
              <w:ind w:left="144" w:right="40"/>
              <w:jc w:val="right"/>
              <w:rPr>
                <w:sz w:val="17"/>
                <w:lang w:val="en-GB"/>
              </w:rPr>
            </w:pPr>
          </w:p>
        </w:tc>
        <w:tc>
          <w:tcPr>
            <w:tcW w:w="990" w:type="dxa"/>
            <w:tcBorders>
              <w:top w:val="single" w:sz="12" w:space="0" w:color="auto"/>
            </w:tcBorders>
            <w:shd w:val="clear" w:color="auto" w:fill="auto"/>
            <w:vAlign w:val="bottom"/>
          </w:tcPr>
          <w:p w14:paraId="2287CA58" w14:textId="77777777" w:rsidR="00EA185F" w:rsidRPr="007003B2" w:rsidRDefault="00EA185F" w:rsidP="00206464">
            <w:pPr>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4E6A4DC3" w14:textId="77777777" w:rsidR="00EA185F" w:rsidRPr="007003B2" w:rsidRDefault="00EA185F" w:rsidP="00206464">
            <w:pPr>
              <w:spacing w:before="40" w:after="40" w:line="210" w:lineRule="exact"/>
              <w:ind w:left="144" w:right="40"/>
              <w:jc w:val="right"/>
              <w:rPr>
                <w:sz w:val="17"/>
                <w:lang w:val="en-GB"/>
              </w:rPr>
            </w:pPr>
          </w:p>
        </w:tc>
        <w:tc>
          <w:tcPr>
            <w:tcW w:w="810" w:type="dxa"/>
            <w:tcBorders>
              <w:top w:val="single" w:sz="12" w:space="0" w:color="auto"/>
            </w:tcBorders>
            <w:shd w:val="clear" w:color="auto" w:fill="auto"/>
            <w:vAlign w:val="bottom"/>
          </w:tcPr>
          <w:p w14:paraId="5F3609BB" w14:textId="77777777" w:rsidR="00EA185F" w:rsidRPr="007003B2" w:rsidRDefault="00EA185F" w:rsidP="00206464">
            <w:pPr>
              <w:spacing w:before="40" w:after="40" w:line="210" w:lineRule="exact"/>
              <w:ind w:left="144" w:right="40"/>
              <w:jc w:val="right"/>
              <w:rPr>
                <w:sz w:val="17"/>
                <w:lang w:val="en-GB"/>
              </w:rPr>
            </w:pPr>
          </w:p>
        </w:tc>
        <w:tc>
          <w:tcPr>
            <w:tcW w:w="900" w:type="dxa"/>
            <w:tcBorders>
              <w:top w:val="single" w:sz="12" w:space="0" w:color="auto"/>
            </w:tcBorders>
            <w:shd w:val="clear" w:color="auto" w:fill="auto"/>
            <w:vAlign w:val="bottom"/>
          </w:tcPr>
          <w:p w14:paraId="3720273F" w14:textId="77777777" w:rsidR="00EA185F" w:rsidRPr="007003B2" w:rsidRDefault="00EA185F" w:rsidP="00206464">
            <w:pPr>
              <w:spacing w:before="40" w:after="40" w:line="210" w:lineRule="exact"/>
              <w:ind w:left="144" w:right="40"/>
              <w:jc w:val="right"/>
              <w:rPr>
                <w:sz w:val="17"/>
                <w:lang w:val="en-GB"/>
              </w:rPr>
            </w:pPr>
          </w:p>
        </w:tc>
        <w:tc>
          <w:tcPr>
            <w:tcW w:w="846" w:type="dxa"/>
            <w:tcBorders>
              <w:top w:val="single" w:sz="12" w:space="0" w:color="auto"/>
            </w:tcBorders>
            <w:shd w:val="clear" w:color="auto" w:fill="auto"/>
            <w:vAlign w:val="bottom"/>
          </w:tcPr>
          <w:p w14:paraId="678E6D55" w14:textId="77777777" w:rsidR="00EA185F" w:rsidRPr="007003B2" w:rsidRDefault="00EA185F" w:rsidP="00206464">
            <w:pPr>
              <w:spacing w:before="40" w:after="40" w:line="210" w:lineRule="exact"/>
              <w:ind w:left="144" w:right="40"/>
              <w:jc w:val="right"/>
              <w:rPr>
                <w:sz w:val="17"/>
                <w:lang w:val="en-GB"/>
              </w:rPr>
            </w:pPr>
          </w:p>
        </w:tc>
      </w:tr>
      <w:tr w:rsidR="00EA185F" w:rsidRPr="007003B2" w14:paraId="76D9C185" w14:textId="77777777" w:rsidTr="00206464">
        <w:tc>
          <w:tcPr>
            <w:tcW w:w="9846" w:type="dxa"/>
            <w:gridSpan w:val="9"/>
            <w:shd w:val="clear" w:color="auto" w:fill="auto"/>
            <w:vAlign w:val="bottom"/>
          </w:tcPr>
          <w:p w14:paraId="0A90FA2A" w14:textId="77777777" w:rsidR="00EA185F" w:rsidRPr="007003B2" w:rsidRDefault="00EA185F" w:rsidP="00206464">
            <w:pPr>
              <w:tabs>
                <w:tab w:val="left" w:pos="288"/>
                <w:tab w:val="left" w:pos="576"/>
                <w:tab w:val="left" w:pos="864"/>
                <w:tab w:val="left" w:pos="1152"/>
              </w:tabs>
              <w:spacing w:before="40" w:after="40" w:line="210" w:lineRule="exact"/>
              <w:ind w:right="40"/>
              <w:rPr>
                <w:b/>
                <w:bCs/>
                <w:sz w:val="17"/>
                <w:lang w:val="en-GB"/>
              </w:rPr>
            </w:pPr>
            <w:r w:rsidRPr="007003B2">
              <w:rPr>
                <w:b/>
                <w:bCs/>
                <w:sz w:val="17"/>
                <w:lang w:val="en-GB"/>
              </w:rPr>
              <w:t>Financial resources by main category of expenditure</w:t>
            </w:r>
          </w:p>
        </w:tc>
      </w:tr>
      <w:tr w:rsidR="00EA185F" w:rsidRPr="007003B2" w14:paraId="298B2DCF" w14:textId="77777777" w:rsidTr="00EF5A7F">
        <w:tc>
          <w:tcPr>
            <w:tcW w:w="2394" w:type="dxa"/>
            <w:shd w:val="clear" w:color="auto" w:fill="auto"/>
            <w:vAlign w:val="bottom"/>
          </w:tcPr>
          <w:p w14:paraId="1AE20839" w14:textId="77777777" w:rsidR="00EA185F" w:rsidRPr="007003B2" w:rsidRDefault="00EA185F" w:rsidP="00206464">
            <w:pPr>
              <w:tabs>
                <w:tab w:val="left" w:pos="288"/>
                <w:tab w:val="left" w:pos="576"/>
                <w:tab w:val="left" w:pos="864"/>
                <w:tab w:val="left" w:pos="1152"/>
              </w:tabs>
              <w:spacing w:before="40" w:after="40" w:line="210" w:lineRule="exact"/>
              <w:ind w:right="40"/>
              <w:rPr>
                <w:sz w:val="17"/>
                <w:lang w:val="en-GB"/>
              </w:rPr>
            </w:pPr>
            <w:r w:rsidRPr="007003B2">
              <w:rPr>
                <w:sz w:val="17"/>
                <w:lang w:val="en-GB"/>
              </w:rPr>
              <w:t>Post</w:t>
            </w:r>
          </w:p>
        </w:tc>
        <w:tc>
          <w:tcPr>
            <w:tcW w:w="972" w:type="dxa"/>
            <w:shd w:val="clear" w:color="auto" w:fill="auto"/>
            <w:vAlign w:val="bottom"/>
          </w:tcPr>
          <w:p w14:paraId="6C6244C0"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2 116.0</w:t>
            </w:r>
          </w:p>
        </w:tc>
        <w:tc>
          <w:tcPr>
            <w:tcW w:w="1044" w:type="dxa"/>
            <w:shd w:val="clear" w:color="auto" w:fill="auto"/>
            <w:vAlign w:val="bottom"/>
          </w:tcPr>
          <w:p w14:paraId="10F475FC"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2 136.9</w:t>
            </w:r>
          </w:p>
        </w:tc>
        <w:tc>
          <w:tcPr>
            <w:tcW w:w="1080" w:type="dxa"/>
            <w:shd w:val="clear" w:color="auto" w:fill="auto"/>
            <w:vAlign w:val="bottom"/>
          </w:tcPr>
          <w:p w14:paraId="0D5EFE52"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98.1</w:t>
            </w:r>
          </w:p>
        </w:tc>
        <w:tc>
          <w:tcPr>
            <w:tcW w:w="990" w:type="dxa"/>
            <w:shd w:val="clear" w:color="auto" w:fill="auto"/>
            <w:vAlign w:val="bottom"/>
          </w:tcPr>
          <w:p w14:paraId="104F44FE"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810" w:type="dxa"/>
            <w:shd w:val="clear" w:color="auto" w:fill="auto"/>
            <w:vAlign w:val="bottom"/>
          </w:tcPr>
          <w:p w14:paraId="4C167666"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(172.9)</w:t>
            </w:r>
          </w:p>
        </w:tc>
        <w:tc>
          <w:tcPr>
            <w:tcW w:w="810" w:type="dxa"/>
            <w:shd w:val="clear" w:color="auto" w:fill="auto"/>
            <w:vAlign w:val="bottom"/>
          </w:tcPr>
          <w:p w14:paraId="14C914C1"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(74.8)</w:t>
            </w:r>
          </w:p>
        </w:tc>
        <w:tc>
          <w:tcPr>
            <w:tcW w:w="900" w:type="dxa"/>
            <w:shd w:val="clear" w:color="auto" w:fill="auto"/>
            <w:vAlign w:val="bottom"/>
          </w:tcPr>
          <w:p w14:paraId="012DE099"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(3.5)</w:t>
            </w:r>
          </w:p>
        </w:tc>
        <w:tc>
          <w:tcPr>
            <w:tcW w:w="846" w:type="dxa"/>
            <w:shd w:val="clear" w:color="auto" w:fill="auto"/>
            <w:vAlign w:val="bottom"/>
          </w:tcPr>
          <w:p w14:paraId="580DEEB3"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 xml:space="preserve">2 062.1 </w:t>
            </w:r>
          </w:p>
        </w:tc>
      </w:tr>
      <w:tr w:rsidR="00EA185F" w:rsidRPr="007003B2" w14:paraId="235809AF" w14:textId="77777777" w:rsidTr="00EF5A7F">
        <w:tc>
          <w:tcPr>
            <w:tcW w:w="2394" w:type="dxa"/>
            <w:tcBorders>
              <w:bottom w:val="single" w:sz="4" w:space="0" w:color="auto"/>
            </w:tcBorders>
            <w:shd w:val="clear" w:color="auto" w:fill="auto"/>
            <w:vAlign w:val="bottom"/>
          </w:tcPr>
          <w:p w14:paraId="5B6928E7" w14:textId="77777777" w:rsidR="00EA185F" w:rsidRPr="007003B2" w:rsidRDefault="00EA185F" w:rsidP="00206464">
            <w:pPr>
              <w:tabs>
                <w:tab w:val="left" w:pos="288"/>
                <w:tab w:val="left" w:pos="576"/>
                <w:tab w:val="left" w:pos="864"/>
                <w:tab w:val="left" w:pos="1152"/>
              </w:tabs>
              <w:spacing w:before="40" w:after="81" w:line="210" w:lineRule="exact"/>
              <w:ind w:right="40"/>
              <w:rPr>
                <w:sz w:val="17"/>
                <w:lang w:val="en-GB"/>
              </w:rPr>
            </w:pPr>
            <w:r w:rsidRPr="007003B2">
              <w:rPr>
                <w:sz w:val="17"/>
                <w:lang w:val="en-GB"/>
              </w:rPr>
              <w:t>Non-post</w:t>
            </w:r>
          </w:p>
        </w:tc>
        <w:tc>
          <w:tcPr>
            <w:tcW w:w="972" w:type="dxa"/>
            <w:tcBorders>
              <w:bottom w:val="single" w:sz="4" w:space="0" w:color="auto"/>
            </w:tcBorders>
            <w:shd w:val="clear" w:color="auto" w:fill="auto"/>
            <w:vAlign w:val="bottom"/>
          </w:tcPr>
          <w:p w14:paraId="6C53036D"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211.7</w:t>
            </w:r>
          </w:p>
        </w:tc>
        <w:tc>
          <w:tcPr>
            <w:tcW w:w="1044" w:type="dxa"/>
            <w:tcBorders>
              <w:bottom w:val="single" w:sz="4" w:space="0" w:color="auto"/>
            </w:tcBorders>
            <w:shd w:val="clear" w:color="auto" w:fill="auto"/>
            <w:vAlign w:val="bottom"/>
          </w:tcPr>
          <w:p w14:paraId="47B760D0"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212.3</w:t>
            </w:r>
          </w:p>
        </w:tc>
        <w:tc>
          <w:tcPr>
            <w:tcW w:w="1080" w:type="dxa"/>
            <w:tcBorders>
              <w:bottom w:val="single" w:sz="4" w:space="0" w:color="auto"/>
            </w:tcBorders>
            <w:shd w:val="clear" w:color="auto" w:fill="auto"/>
            <w:vAlign w:val="bottom"/>
          </w:tcPr>
          <w:p w14:paraId="6109DAE9"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90" w:type="dxa"/>
            <w:tcBorders>
              <w:bottom w:val="single" w:sz="4" w:space="0" w:color="auto"/>
            </w:tcBorders>
            <w:shd w:val="clear" w:color="auto" w:fill="auto"/>
            <w:vAlign w:val="bottom"/>
          </w:tcPr>
          <w:p w14:paraId="52200432"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150.5</w:t>
            </w:r>
          </w:p>
        </w:tc>
        <w:tc>
          <w:tcPr>
            <w:tcW w:w="810" w:type="dxa"/>
            <w:tcBorders>
              <w:bottom w:val="single" w:sz="4" w:space="0" w:color="auto"/>
            </w:tcBorders>
            <w:shd w:val="clear" w:color="auto" w:fill="auto"/>
            <w:vAlign w:val="bottom"/>
          </w:tcPr>
          <w:p w14:paraId="314DCD0E"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(0.2)</w:t>
            </w:r>
          </w:p>
        </w:tc>
        <w:tc>
          <w:tcPr>
            <w:tcW w:w="810" w:type="dxa"/>
            <w:tcBorders>
              <w:bottom w:val="single" w:sz="4" w:space="0" w:color="auto"/>
            </w:tcBorders>
            <w:shd w:val="clear" w:color="auto" w:fill="auto"/>
            <w:vAlign w:val="bottom"/>
          </w:tcPr>
          <w:p w14:paraId="10C0523A"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150.3</w:t>
            </w:r>
          </w:p>
        </w:tc>
        <w:tc>
          <w:tcPr>
            <w:tcW w:w="900" w:type="dxa"/>
            <w:tcBorders>
              <w:bottom w:val="single" w:sz="4" w:space="0" w:color="auto"/>
            </w:tcBorders>
            <w:shd w:val="clear" w:color="auto" w:fill="auto"/>
            <w:vAlign w:val="bottom"/>
          </w:tcPr>
          <w:p w14:paraId="3D1F4121"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70.8</w:t>
            </w:r>
          </w:p>
        </w:tc>
        <w:tc>
          <w:tcPr>
            <w:tcW w:w="846" w:type="dxa"/>
            <w:tcBorders>
              <w:bottom w:val="single" w:sz="4" w:space="0" w:color="auto"/>
            </w:tcBorders>
            <w:shd w:val="clear" w:color="auto" w:fill="auto"/>
            <w:vAlign w:val="bottom"/>
          </w:tcPr>
          <w:p w14:paraId="73126275"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 xml:space="preserve">362.6 </w:t>
            </w:r>
          </w:p>
        </w:tc>
      </w:tr>
      <w:tr w:rsidR="00EA185F" w:rsidRPr="007003B2" w14:paraId="0BFE2A26" w14:textId="77777777" w:rsidTr="00EF5A7F">
        <w:tc>
          <w:tcPr>
            <w:tcW w:w="2394" w:type="dxa"/>
            <w:tcBorders>
              <w:top w:val="single" w:sz="4" w:space="0" w:color="auto"/>
              <w:bottom w:val="single" w:sz="4" w:space="0" w:color="auto"/>
            </w:tcBorders>
            <w:shd w:val="clear" w:color="auto" w:fill="auto"/>
            <w:vAlign w:val="bottom"/>
          </w:tcPr>
          <w:p w14:paraId="037836B3" w14:textId="77777777" w:rsidR="00EA185F" w:rsidRPr="007003B2" w:rsidRDefault="00EA185F" w:rsidP="00206464">
            <w:pPr>
              <w:tabs>
                <w:tab w:val="left" w:pos="288"/>
                <w:tab w:val="left" w:pos="576"/>
                <w:tab w:val="left" w:pos="864"/>
                <w:tab w:val="left" w:pos="1152"/>
              </w:tabs>
              <w:spacing w:before="81" w:after="81" w:line="210" w:lineRule="exact"/>
              <w:ind w:left="288" w:right="40"/>
              <w:rPr>
                <w:b/>
                <w:sz w:val="17"/>
                <w:lang w:val="en-GB"/>
              </w:rPr>
            </w:pPr>
            <w:r w:rsidRPr="007003B2">
              <w:rPr>
                <w:b/>
                <w:sz w:val="17"/>
                <w:lang w:val="en-GB"/>
              </w:rPr>
              <w:t>Total</w:t>
            </w:r>
          </w:p>
        </w:tc>
        <w:tc>
          <w:tcPr>
            <w:tcW w:w="972" w:type="dxa"/>
            <w:tcBorders>
              <w:top w:val="single" w:sz="4" w:space="0" w:color="auto"/>
              <w:bottom w:val="single" w:sz="4" w:space="0" w:color="auto"/>
            </w:tcBorders>
            <w:shd w:val="clear" w:color="auto" w:fill="auto"/>
            <w:vAlign w:val="bottom"/>
          </w:tcPr>
          <w:p w14:paraId="35D72661"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2 327.7</w:t>
            </w:r>
          </w:p>
        </w:tc>
        <w:tc>
          <w:tcPr>
            <w:tcW w:w="1044" w:type="dxa"/>
            <w:tcBorders>
              <w:top w:val="single" w:sz="4" w:space="0" w:color="auto"/>
              <w:bottom w:val="single" w:sz="4" w:space="0" w:color="auto"/>
            </w:tcBorders>
            <w:shd w:val="clear" w:color="auto" w:fill="auto"/>
            <w:vAlign w:val="bottom"/>
          </w:tcPr>
          <w:p w14:paraId="19E8174E"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2 349.2</w:t>
            </w:r>
          </w:p>
        </w:tc>
        <w:tc>
          <w:tcPr>
            <w:tcW w:w="1080" w:type="dxa"/>
            <w:tcBorders>
              <w:top w:val="single" w:sz="4" w:space="0" w:color="auto"/>
              <w:bottom w:val="single" w:sz="4" w:space="0" w:color="auto"/>
            </w:tcBorders>
            <w:shd w:val="clear" w:color="auto" w:fill="auto"/>
            <w:vAlign w:val="bottom"/>
          </w:tcPr>
          <w:p w14:paraId="77D2CA6C"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98.1</w:t>
            </w:r>
          </w:p>
        </w:tc>
        <w:tc>
          <w:tcPr>
            <w:tcW w:w="990" w:type="dxa"/>
            <w:tcBorders>
              <w:top w:val="single" w:sz="4" w:space="0" w:color="auto"/>
              <w:bottom w:val="single" w:sz="4" w:space="0" w:color="auto"/>
            </w:tcBorders>
            <w:shd w:val="clear" w:color="auto" w:fill="auto"/>
            <w:vAlign w:val="bottom"/>
          </w:tcPr>
          <w:p w14:paraId="6CAC8F30"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150.5</w:t>
            </w:r>
          </w:p>
        </w:tc>
        <w:tc>
          <w:tcPr>
            <w:tcW w:w="810" w:type="dxa"/>
            <w:tcBorders>
              <w:top w:val="single" w:sz="4" w:space="0" w:color="auto"/>
              <w:bottom w:val="single" w:sz="4" w:space="0" w:color="auto"/>
            </w:tcBorders>
            <w:shd w:val="clear" w:color="auto" w:fill="auto"/>
            <w:vAlign w:val="bottom"/>
          </w:tcPr>
          <w:p w14:paraId="32FE0B51"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(173.1)</w:t>
            </w:r>
          </w:p>
        </w:tc>
        <w:tc>
          <w:tcPr>
            <w:tcW w:w="810" w:type="dxa"/>
            <w:tcBorders>
              <w:top w:val="single" w:sz="4" w:space="0" w:color="auto"/>
              <w:bottom w:val="single" w:sz="4" w:space="0" w:color="auto"/>
            </w:tcBorders>
            <w:shd w:val="clear" w:color="auto" w:fill="auto"/>
            <w:vAlign w:val="bottom"/>
          </w:tcPr>
          <w:p w14:paraId="5704E509"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75.5</w:t>
            </w:r>
          </w:p>
        </w:tc>
        <w:tc>
          <w:tcPr>
            <w:tcW w:w="900" w:type="dxa"/>
            <w:tcBorders>
              <w:top w:val="single" w:sz="4" w:space="0" w:color="auto"/>
              <w:bottom w:val="single" w:sz="4" w:space="0" w:color="auto"/>
            </w:tcBorders>
            <w:shd w:val="clear" w:color="auto" w:fill="auto"/>
            <w:vAlign w:val="bottom"/>
          </w:tcPr>
          <w:p w14:paraId="71D37677"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3.2</w:t>
            </w:r>
          </w:p>
        </w:tc>
        <w:tc>
          <w:tcPr>
            <w:tcW w:w="846" w:type="dxa"/>
            <w:tcBorders>
              <w:top w:val="single" w:sz="4" w:space="0" w:color="auto"/>
              <w:bottom w:val="single" w:sz="4" w:space="0" w:color="auto"/>
            </w:tcBorders>
            <w:shd w:val="clear" w:color="auto" w:fill="auto"/>
            <w:vAlign w:val="bottom"/>
          </w:tcPr>
          <w:p w14:paraId="58749828"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 xml:space="preserve">2 424.7 </w:t>
            </w:r>
          </w:p>
        </w:tc>
      </w:tr>
      <w:tr w:rsidR="00EA185F" w:rsidRPr="007003B2" w14:paraId="12E4D4DB" w14:textId="77777777" w:rsidTr="00206464">
        <w:tc>
          <w:tcPr>
            <w:tcW w:w="9846" w:type="dxa"/>
            <w:gridSpan w:val="9"/>
            <w:tcBorders>
              <w:top w:val="single" w:sz="4" w:space="0" w:color="auto"/>
            </w:tcBorders>
            <w:shd w:val="clear" w:color="auto" w:fill="auto"/>
            <w:vAlign w:val="bottom"/>
          </w:tcPr>
          <w:p w14:paraId="30A3B1B2" w14:textId="77777777" w:rsidR="00EA185F" w:rsidRPr="007003B2" w:rsidRDefault="00EA185F" w:rsidP="00206464">
            <w:pPr>
              <w:tabs>
                <w:tab w:val="left" w:pos="288"/>
                <w:tab w:val="left" w:pos="576"/>
                <w:tab w:val="left" w:pos="864"/>
                <w:tab w:val="left" w:pos="1152"/>
              </w:tabs>
              <w:spacing w:before="81" w:after="40" w:line="210" w:lineRule="exact"/>
              <w:ind w:right="40"/>
              <w:rPr>
                <w:b/>
                <w:bCs/>
                <w:sz w:val="17"/>
                <w:lang w:val="en-GB"/>
              </w:rPr>
            </w:pPr>
            <w:r w:rsidRPr="007003B2">
              <w:rPr>
                <w:b/>
                <w:bCs/>
                <w:sz w:val="17"/>
                <w:lang w:val="en-GB"/>
              </w:rPr>
              <w:t>Post resources by category</w:t>
            </w:r>
          </w:p>
        </w:tc>
      </w:tr>
      <w:tr w:rsidR="00EA185F" w:rsidRPr="007003B2" w14:paraId="29856CC8" w14:textId="77777777" w:rsidTr="00EF5A7F">
        <w:tc>
          <w:tcPr>
            <w:tcW w:w="2394" w:type="dxa"/>
            <w:shd w:val="clear" w:color="auto" w:fill="auto"/>
            <w:vAlign w:val="bottom"/>
          </w:tcPr>
          <w:p w14:paraId="6FC68B34" w14:textId="77777777" w:rsidR="00EA185F" w:rsidRPr="007003B2" w:rsidRDefault="00EA185F" w:rsidP="00206464">
            <w:pPr>
              <w:tabs>
                <w:tab w:val="left" w:pos="288"/>
                <w:tab w:val="left" w:pos="576"/>
                <w:tab w:val="left" w:pos="864"/>
                <w:tab w:val="left" w:pos="1152"/>
              </w:tabs>
              <w:spacing w:before="40" w:after="40" w:line="210" w:lineRule="exact"/>
              <w:ind w:right="40"/>
              <w:rPr>
                <w:sz w:val="17"/>
                <w:lang w:val="en-GB"/>
              </w:rPr>
            </w:pPr>
            <w:r w:rsidRPr="007003B2">
              <w:rPr>
                <w:sz w:val="17"/>
                <w:lang w:val="en-GB"/>
              </w:rPr>
              <w:t>Professional and higher</w:t>
            </w:r>
          </w:p>
        </w:tc>
        <w:tc>
          <w:tcPr>
            <w:tcW w:w="972" w:type="dxa"/>
            <w:shd w:val="clear" w:color="auto" w:fill="auto"/>
            <w:vAlign w:val="bottom"/>
          </w:tcPr>
          <w:p w14:paraId="2ED74C31"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p>
        </w:tc>
        <w:tc>
          <w:tcPr>
            <w:tcW w:w="1044" w:type="dxa"/>
            <w:shd w:val="clear" w:color="auto" w:fill="auto"/>
            <w:vAlign w:val="bottom"/>
          </w:tcPr>
          <w:p w14:paraId="1492C8D9"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11</w:t>
            </w:r>
          </w:p>
        </w:tc>
        <w:tc>
          <w:tcPr>
            <w:tcW w:w="1080" w:type="dxa"/>
            <w:shd w:val="clear" w:color="auto" w:fill="auto"/>
            <w:vAlign w:val="bottom"/>
          </w:tcPr>
          <w:p w14:paraId="5E2FE686"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90" w:type="dxa"/>
            <w:shd w:val="clear" w:color="auto" w:fill="auto"/>
            <w:vAlign w:val="bottom"/>
          </w:tcPr>
          <w:p w14:paraId="6EAB9DA2"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810" w:type="dxa"/>
            <w:shd w:val="clear" w:color="auto" w:fill="auto"/>
            <w:vAlign w:val="bottom"/>
          </w:tcPr>
          <w:p w14:paraId="48CB52D3"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w:t>
            </w:r>
          </w:p>
        </w:tc>
        <w:tc>
          <w:tcPr>
            <w:tcW w:w="810" w:type="dxa"/>
            <w:shd w:val="clear" w:color="auto" w:fill="auto"/>
            <w:vAlign w:val="bottom"/>
          </w:tcPr>
          <w:p w14:paraId="3B3555F9"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w:t>
            </w:r>
          </w:p>
        </w:tc>
        <w:tc>
          <w:tcPr>
            <w:tcW w:w="900" w:type="dxa"/>
            <w:shd w:val="clear" w:color="auto" w:fill="auto"/>
            <w:vAlign w:val="bottom"/>
          </w:tcPr>
          <w:p w14:paraId="08300BD3"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(9)</w:t>
            </w:r>
          </w:p>
        </w:tc>
        <w:tc>
          <w:tcPr>
            <w:tcW w:w="846" w:type="dxa"/>
            <w:shd w:val="clear" w:color="auto" w:fill="auto"/>
            <w:vAlign w:val="bottom"/>
          </w:tcPr>
          <w:p w14:paraId="36425360"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 xml:space="preserve">10 </w:t>
            </w:r>
          </w:p>
        </w:tc>
      </w:tr>
      <w:tr w:rsidR="00EA185F" w:rsidRPr="007003B2" w14:paraId="543B61B1" w14:textId="77777777" w:rsidTr="00EF5A7F">
        <w:tc>
          <w:tcPr>
            <w:tcW w:w="2394" w:type="dxa"/>
            <w:tcBorders>
              <w:bottom w:val="single" w:sz="4" w:space="0" w:color="auto"/>
            </w:tcBorders>
            <w:shd w:val="clear" w:color="auto" w:fill="auto"/>
            <w:vAlign w:val="bottom"/>
          </w:tcPr>
          <w:p w14:paraId="7EAB0580" w14:textId="77777777" w:rsidR="00EA185F" w:rsidRPr="007003B2" w:rsidRDefault="00EA185F" w:rsidP="00206464">
            <w:pPr>
              <w:tabs>
                <w:tab w:val="left" w:pos="288"/>
                <w:tab w:val="left" w:pos="576"/>
                <w:tab w:val="left" w:pos="864"/>
                <w:tab w:val="left" w:pos="1152"/>
              </w:tabs>
              <w:spacing w:before="40" w:after="81" w:line="210" w:lineRule="exact"/>
              <w:ind w:right="40"/>
              <w:rPr>
                <w:sz w:val="17"/>
                <w:lang w:val="en-GB"/>
              </w:rPr>
            </w:pPr>
            <w:r w:rsidRPr="007003B2">
              <w:rPr>
                <w:sz w:val="17"/>
                <w:lang w:val="en-GB"/>
              </w:rPr>
              <w:t>General Service and related</w:t>
            </w:r>
          </w:p>
        </w:tc>
        <w:tc>
          <w:tcPr>
            <w:tcW w:w="972" w:type="dxa"/>
            <w:tcBorders>
              <w:bottom w:val="single" w:sz="4" w:space="0" w:color="auto"/>
            </w:tcBorders>
            <w:shd w:val="clear" w:color="auto" w:fill="auto"/>
            <w:vAlign w:val="bottom"/>
          </w:tcPr>
          <w:p w14:paraId="01FEFF55"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p>
        </w:tc>
        <w:tc>
          <w:tcPr>
            <w:tcW w:w="1044" w:type="dxa"/>
            <w:tcBorders>
              <w:bottom w:val="single" w:sz="4" w:space="0" w:color="auto"/>
            </w:tcBorders>
            <w:shd w:val="clear" w:color="auto" w:fill="auto"/>
            <w:vAlign w:val="bottom"/>
          </w:tcPr>
          <w:p w14:paraId="2E960EDC"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3</w:t>
            </w:r>
          </w:p>
        </w:tc>
        <w:tc>
          <w:tcPr>
            <w:tcW w:w="1080" w:type="dxa"/>
            <w:tcBorders>
              <w:bottom w:val="single" w:sz="4" w:space="0" w:color="auto"/>
            </w:tcBorders>
            <w:shd w:val="clear" w:color="auto" w:fill="auto"/>
            <w:vAlign w:val="bottom"/>
          </w:tcPr>
          <w:p w14:paraId="4DC4E37E"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90" w:type="dxa"/>
            <w:tcBorders>
              <w:bottom w:val="single" w:sz="4" w:space="0" w:color="auto"/>
            </w:tcBorders>
            <w:shd w:val="clear" w:color="auto" w:fill="auto"/>
            <w:vAlign w:val="bottom"/>
          </w:tcPr>
          <w:p w14:paraId="155833E4"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10" w:type="dxa"/>
            <w:tcBorders>
              <w:bottom w:val="single" w:sz="4" w:space="0" w:color="auto"/>
            </w:tcBorders>
            <w:shd w:val="clear" w:color="auto" w:fill="auto"/>
            <w:vAlign w:val="bottom"/>
          </w:tcPr>
          <w:p w14:paraId="73CB6081"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10" w:type="dxa"/>
            <w:tcBorders>
              <w:bottom w:val="single" w:sz="4" w:space="0" w:color="auto"/>
            </w:tcBorders>
            <w:shd w:val="clear" w:color="auto" w:fill="auto"/>
            <w:vAlign w:val="bottom"/>
          </w:tcPr>
          <w:p w14:paraId="5C423B49"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00" w:type="dxa"/>
            <w:tcBorders>
              <w:bottom w:val="single" w:sz="4" w:space="0" w:color="auto"/>
            </w:tcBorders>
            <w:shd w:val="clear" w:color="auto" w:fill="auto"/>
            <w:vAlign w:val="bottom"/>
          </w:tcPr>
          <w:p w14:paraId="73E93443"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46" w:type="dxa"/>
            <w:tcBorders>
              <w:bottom w:val="single" w:sz="4" w:space="0" w:color="auto"/>
            </w:tcBorders>
            <w:shd w:val="clear" w:color="auto" w:fill="auto"/>
            <w:vAlign w:val="bottom"/>
          </w:tcPr>
          <w:p w14:paraId="5486D8E3"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 xml:space="preserve">3 </w:t>
            </w:r>
          </w:p>
        </w:tc>
      </w:tr>
      <w:tr w:rsidR="00EA185F" w:rsidRPr="007003B2" w14:paraId="0FF44281" w14:textId="77777777" w:rsidTr="00EF5A7F">
        <w:tc>
          <w:tcPr>
            <w:tcW w:w="2394" w:type="dxa"/>
            <w:tcBorders>
              <w:top w:val="single" w:sz="4" w:space="0" w:color="auto"/>
              <w:bottom w:val="single" w:sz="12" w:space="0" w:color="auto"/>
            </w:tcBorders>
            <w:shd w:val="clear" w:color="auto" w:fill="auto"/>
            <w:vAlign w:val="bottom"/>
          </w:tcPr>
          <w:p w14:paraId="051FAC5B" w14:textId="77777777" w:rsidR="00EA185F" w:rsidRPr="007003B2" w:rsidRDefault="00EA185F" w:rsidP="00206464">
            <w:pPr>
              <w:tabs>
                <w:tab w:val="left" w:pos="288"/>
                <w:tab w:val="left" w:pos="576"/>
                <w:tab w:val="left" w:pos="864"/>
                <w:tab w:val="left" w:pos="1152"/>
              </w:tabs>
              <w:spacing w:before="81" w:after="81" w:line="210" w:lineRule="exact"/>
              <w:ind w:left="288" w:right="40"/>
              <w:rPr>
                <w:b/>
                <w:sz w:val="17"/>
                <w:lang w:val="en-GB"/>
              </w:rPr>
            </w:pPr>
            <w:r w:rsidRPr="007003B2">
              <w:rPr>
                <w:b/>
                <w:sz w:val="17"/>
                <w:lang w:val="en-GB"/>
              </w:rPr>
              <w:t>Total</w:t>
            </w:r>
          </w:p>
        </w:tc>
        <w:tc>
          <w:tcPr>
            <w:tcW w:w="972" w:type="dxa"/>
            <w:tcBorders>
              <w:top w:val="single" w:sz="4" w:space="0" w:color="auto"/>
              <w:bottom w:val="single" w:sz="12" w:space="0" w:color="auto"/>
            </w:tcBorders>
            <w:shd w:val="clear" w:color="auto" w:fill="auto"/>
            <w:vAlign w:val="bottom"/>
          </w:tcPr>
          <w:p w14:paraId="2B23C580"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p>
        </w:tc>
        <w:tc>
          <w:tcPr>
            <w:tcW w:w="1044" w:type="dxa"/>
            <w:tcBorders>
              <w:top w:val="single" w:sz="4" w:space="0" w:color="auto"/>
              <w:bottom w:val="single" w:sz="12" w:space="0" w:color="auto"/>
            </w:tcBorders>
            <w:shd w:val="clear" w:color="auto" w:fill="auto"/>
            <w:vAlign w:val="bottom"/>
          </w:tcPr>
          <w:p w14:paraId="165C79F2"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14</w:t>
            </w:r>
          </w:p>
        </w:tc>
        <w:tc>
          <w:tcPr>
            <w:tcW w:w="1080" w:type="dxa"/>
            <w:tcBorders>
              <w:top w:val="single" w:sz="4" w:space="0" w:color="auto"/>
              <w:bottom w:val="single" w:sz="12" w:space="0" w:color="auto"/>
            </w:tcBorders>
            <w:shd w:val="clear" w:color="auto" w:fill="auto"/>
            <w:vAlign w:val="bottom"/>
          </w:tcPr>
          <w:p w14:paraId="74BF0676"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990" w:type="dxa"/>
            <w:tcBorders>
              <w:top w:val="single" w:sz="4" w:space="0" w:color="auto"/>
              <w:bottom w:val="single" w:sz="12" w:space="0" w:color="auto"/>
            </w:tcBorders>
            <w:shd w:val="clear" w:color="auto" w:fill="auto"/>
            <w:vAlign w:val="bottom"/>
          </w:tcPr>
          <w:p w14:paraId="5F67DCFE"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810" w:type="dxa"/>
            <w:tcBorders>
              <w:top w:val="single" w:sz="4" w:space="0" w:color="auto"/>
              <w:bottom w:val="single" w:sz="12" w:space="0" w:color="auto"/>
            </w:tcBorders>
            <w:shd w:val="clear" w:color="auto" w:fill="auto"/>
            <w:vAlign w:val="bottom"/>
          </w:tcPr>
          <w:p w14:paraId="2E95ED7E"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w:t>
            </w:r>
          </w:p>
        </w:tc>
        <w:tc>
          <w:tcPr>
            <w:tcW w:w="810" w:type="dxa"/>
            <w:tcBorders>
              <w:top w:val="single" w:sz="4" w:space="0" w:color="auto"/>
              <w:bottom w:val="single" w:sz="12" w:space="0" w:color="auto"/>
            </w:tcBorders>
            <w:shd w:val="clear" w:color="auto" w:fill="auto"/>
            <w:vAlign w:val="bottom"/>
          </w:tcPr>
          <w:p w14:paraId="48C4BFDB"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w:t>
            </w:r>
          </w:p>
        </w:tc>
        <w:tc>
          <w:tcPr>
            <w:tcW w:w="900" w:type="dxa"/>
            <w:tcBorders>
              <w:top w:val="single" w:sz="4" w:space="0" w:color="auto"/>
              <w:bottom w:val="single" w:sz="12" w:space="0" w:color="auto"/>
            </w:tcBorders>
            <w:shd w:val="clear" w:color="auto" w:fill="auto"/>
            <w:vAlign w:val="bottom"/>
          </w:tcPr>
          <w:p w14:paraId="3F012088"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(7)</w:t>
            </w:r>
          </w:p>
        </w:tc>
        <w:tc>
          <w:tcPr>
            <w:tcW w:w="846" w:type="dxa"/>
            <w:tcBorders>
              <w:top w:val="single" w:sz="4" w:space="0" w:color="auto"/>
              <w:bottom w:val="single" w:sz="12" w:space="0" w:color="auto"/>
            </w:tcBorders>
            <w:shd w:val="clear" w:color="auto" w:fill="auto"/>
            <w:vAlign w:val="bottom"/>
          </w:tcPr>
          <w:p w14:paraId="2949D16E"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 xml:space="preserve">13 </w:t>
            </w:r>
          </w:p>
        </w:tc>
      </w:tr>
    </w:tbl>
    <w:p w14:paraId="28A804AA"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0C7B144"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7E870CC"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7003B2">
        <w:rPr>
          <w:b w:val="0"/>
          <w:bCs/>
          <w:lang w:val="en-GB"/>
        </w:rPr>
        <w:t>Figure 15.XVIII</w:t>
      </w:r>
    </w:p>
    <w:p w14:paraId="4B3BF596"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Subprogramme 3: distribution of proposed resources for 2022 (before recosting)</w:t>
      </w:r>
    </w:p>
    <w:p w14:paraId="56494D2A"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 xml:space="preserve">(Number of posts/thousands of United States dollars) </w:t>
      </w:r>
    </w:p>
    <w:p w14:paraId="55221DA5" w14:textId="371CA965"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8D83788" w14:textId="7A0DA922" w:rsidR="00EA185F" w:rsidRPr="007003B2" w:rsidRDefault="00EF5A7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lang w:val="en-US"/>
        </w:rPr>
        <w:drawing>
          <wp:anchor distT="0" distB="0" distL="114300" distR="114300" simplePos="0" relativeHeight="251701248" behindDoc="0" locked="0" layoutInCell="1" allowOverlap="1" wp14:anchorId="59C01BDA" wp14:editId="791E8126">
            <wp:simplePos x="0" y="0"/>
            <wp:positionH relativeFrom="margin">
              <wp:align>left</wp:align>
            </wp:positionH>
            <wp:positionV relativeFrom="paragraph">
              <wp:posOffset>86995</wp:posOffset>
            </wp:positionV>
            <wp:extent cx="6219825" cy="3140710"/>
            <wp:effectExtent l="0" t="0" r="9525" b="2540"/>
            <wp:wrapTopAndBottom/>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0">
                      <a:extLst>
                        <a:ext uri="{28A0092B-C50C-407E-A947-70E740481C1C}">
                          <a14:useLocalDpi xmlns:a14="http://schemas.microsoft.com/office/drawing/2010/main" val="0"/>
                        </a:ext>
                      </a:extLst>
                    </a:blip>
                    <a:srcRect l="15734" r="16003" b="8863"/>
                    <a:stretch/>
                  </pic:blipFill>
                  <pic:spPr bwMode="auto">
                    <a:xfrm>
                      <a:off x="0" y="0"/>
                      <a:ext cx="6219825" cy="31407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B25E3E5"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7A49CB6"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11CC7C2"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7003B2">
        <w:rPr>
          <w:lang w:val="en-GB"/>
        </w:rPr>
        <w:lastRenderedPageBreak/>
        <w:t>Extrabudgetary resources</w:t>
      </w:r>
    </w:p>
    <w:p w14:paraId="28284EEB"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D68675D" w14:textId="1DD1A155"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15.16</w:t>
      </w:r>
      <w:r w:rsidR="007B5582">
        <w:t>2</w:t>
      </w:r>
      <w:r w:rsidRPr="007003B2">
        <w:tab/>
        <w:t>Extrabudgetary resources for the subprogramme are estimated at $69,524,300 and would provide for 19 posts (1 D-1, 3 P-5, 4 P-4, 1 P-3 and 10 LL), as well as non-post resources. The resources would be used mainly to carry out technical cooperation projects with requesting countries in order to fulfil increased ambitions to combat climate change at the national and local levels and to develop climate-resilient water supply systems. Given the impact of the pandemic, subprogramme 3, in conjunction with other subprogrammes, mainly subprogramme 1, will contribute to promoting sustainable mobility and ensuring access to basic services, public space and adequate and affordable housing in the pursuit of a holistic approach to the achievement of a resilient and green recovery from the pandemic. For example, under the subprogramme, support will be expanded for low-emission development strategies which facilitate the creation of green jobs and access to green public spaces. The subprogramme will further support planning for, and the implementation of, climate resilience strategies that support health resilience, in particular through climate-resilient water and sanitation facilities, which will enhance hygiene. In addition, the subprogramme will continue to support urban climate adaptation, with an emphasis on the urban poor and on low-emission development planning and implementation. Furthermore, under the subprogramme, UN-Habitat intends to use extrabudgetary resources to develop urban climate finance tools suitable for cities in the least developed countries and small island developing States.</w:t>
      </w:r>
    </w:p>
    <w:p w14:paraId="19521408" w14:textId="0669ADDD"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15.16</w:t>
      </w:r>
      <w:r w:rsidR="007B5582">
        <w:t>3</w:t>
      </w:r>
      <w:r w:rsidRPr="007003B2">
        <w:tab/>
        <w:t xml:space="preserve">The expected increase of $31,961,900 is intended to address the higher demand for technical cooperation projects that promote the strengthening of climate action and improved urban environment. </w:t>
      </w:r>
    </w:p>
    <w:p w14:paraId="7CD7480D"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9F4100F"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318FAAC" w14:textId="77777777" w:rsidR="00EA185F" w:rsidRPr="007003B2" w:rsidRDefault="00EA185F" w:rsidP="00EA185F">
      <w:pPr>
        <w:pStyle w:val="H1"/>
        <w:ind w:left="2534" w:right="1260"/>
      </w:pPr>
      <w:r w:rsidRPr="007003B2">
        <w:t>Subprogramme 4</w:t>
      </w:r>
    </w:p>
    <w:p w14:paraId="00556F8E" w14:textId="77777777" w:rsidR="00EA185F" w:rsidRPr="007003B2" w:rsidRDefault="00EA185F" w:rsidP="00EA185F">
      <w:pPr>
        <w:pStyle w:val="H1"/>
        <w:ind w:left="2534" w:right="1260"/>
      </w:pPr>
      <w:r w:rsidRPr="007003B2">
        <w:t xml:space="preserve">Effective urban crisis prevention and response </w:t>
      </w:r>
    </w:p>
    <w:p w14:paraId="68A5509B"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9124917"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D8AC61B" w14:textId="29E20809"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15.16</w:t>
      </w:r>
      <w:r w:rsidR="007B5582">
        <w:t>4</w:t>
      </w:r>
      <w:r w:rsidRPr="007003B2">
        <w:tab/>
        <w:t>The proposed regular budget resources for 2022 amount to $2,500,700 and reflect a net increase of $577,900 compared with the appropriation for 2021. The proposed increase is explained in paragraphs 15.13</w:t>
      </w:r>
      <w:r w:rsidR="006A45EB">
        <w:t>3</w:t>
      </w:r>
      <w:r w:rsidRPr="007003B2">
        <w:t xml:space="preserve"> (d) and 15.13</w:t>
      </w:r>
      <w:r w:rsidR="006A45EB">
        <w:t>4</w:t>
      </w:r>
      <w:r w:rsidRPr="007003B2">
        <w:t xml:space="preserve"> (e). Additional details on the distribution of the proposed resources for 2022 are reflected in table 15.24 and figure 15.XIX.</w:t>
      </w:r>
    </w:p>
    <w:p w14:paraId="0FDECFFB"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1DD7F50"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7003B2">
        <w:rPr>
          <w:b w:val="0"/>
          <w:bCs/>
          <w:lang w:val="en-GB"/>
        </w:rPr>
        <w:t>Table 15.24</w:t>
      </w:r>
    </w:p>
    <w:p w14:paraId="596A0391"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Subprogramme 4: evolution of financial and post resources</w:t>
      </w:r>
    </w:p>
    <w:p w14:paraId="5317B3E8"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(Thousands of United States dollars/number of posts)</w:t>
      </w:r>
    </w:p>
    <w:p w14:paraId="4F5DAA24"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754FF45"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385"/>
        <w:gridCol w:w="925"/>
        <w:gridCol w:w="1043"/>
        <w:gridCol w:w="990"/>
        <w:gridCol w:w="970"/>
        <w:gridCol w:w="873"/>
        <w:gridCol w:w="776"/>
        <w:gridCol w:w="971"/>
        <w:gridCol w:w="913"/>
      </w:tblGrid>
      <w:tr w:rsidR="00EA185F" w:rsidRPr="007003B2" w14:paraId="5FC325C2" w14:textId="77777777" w:rsidTr="00EF5A7F">
        <w:trPr>
          <w:tblHeader/>
        </w:trPr>
        <w:tc>
          <w:tcPr>
            <w:tcW w:w="2385" w:type="dxa"/>
            <w:tcBorders>
              <w:top w:val="single" w:sz="4" w:space="0" w:color="auto"/>
            </w:tcBorders>
            <w:shd w:val="clear" w:color="auto" w:fill="auto"/>
            <w:vAlign w:val="bottom"/>
          </w:tcPr>
          <w:p w14:paraId="72D1CBE3" w14:textId="77777777" w:rsidR="00EA185F" w:rsidRPr="007003B2" w:rsidRDefault="00EA185F" w:rsidP="00206464">
            <w:pPr>
              <w:spacing w:before="81" w:after="81" w:line="160" w:lineRule="exact"/>
              <w:ind w:right="40"/>
              <w:rPr>
                <w:i/>
                <w:sz w:val="14"/>
                <w:lang w:val="en-GB"/>
              </w:rPr>
            </w:pPr>
          </w:p>
        </w:tc>
        <w:tc>
          <w:tcPr>
            <w:tcW w:w="925" w:type="dxa"/>
            <w:tcBorders>
              <w:top w:val="single" w:sz="4" w:space="0" w:color="auto"/>
            </w:tcBorders>
            <w:shd w:val="clear" w:color="auto" w:fill="auto"/>
            <w:vAlign w:val="bottom"/>
          </w:tcPr>
          <w:p w14:paraId="7587AACA" w14:textId="77777777" w:rsidR="00EA185F" w:rsidRPr="007003B2" w:rsidRDefault="00EA185F" w:rsidP="00206464">
            <w:pPr>
              <w:spacing w:before="81" w:after="81" w:line="160" w:lineRule="exact"/>
              <w:ind w:left="144" w:right="40"/>
              <w:jc w:val="right"/>
              <w:rPr>
                <w:i/>
                <w:sz w:val="14"/>
                <w:lang w:val="en-GB"/>
              </w:rPr>
            </w:pPr>
          </w:p>
        </w:tc>
        <w:tc>
          <w:tcPr>
            <w:tcW w:w="1043" w:type="dxa"/>
            <w:tcBorders>
              <w:top w:val="single" w:sz="4" w:space="0" w:color="auto"/>
            </w:tcBorders>
            <w:shd w:val="clear" w:color="auto" w:fill="auto"/>
            <w:vAlign w:val="bottom"/>
          </w:tcPr>
          <w:p w14:paraId="70AFF3CD" w14:textId="77777777" w:rsidR="00EA185F" w:rsidRPr="007003B2" w:rsidRDefault="00EA185F" w:rsidP="00206464">
            <w:pPr>
              <w:spacing w:before="81" w:after="81" w:line="160" w:lineRule="exact"/>
              <w:ind w:left="144" w:right="40"/>
              <w:jc w:val="right"/>
              <w:rPr>
                <w:i/>
                <w:sz w:val="14"/>
                <w:lang w:val="en-GB"/>
              </w:rPr>
            </w:pPr>
          </w:p>
        </w:tc>
        <w:tc>
          <w:tcPr>
            <w:tcW w:w="4580" w:type="dxa"/>
            <w:gridSpan w:val="5"/>
            <w:tcBorders>
              <w:top w:val="single" w:sz="4" w:space="0" w:color="auto"/>
              <w:bottom w:val="single" w:sz="4" w:space="0" w:color="auto"/>
            </w:tcBorders>
            <w:shd w:val="clear" w:color="auto" w:fill="auto"/>
            <w:vAlign w:val="bottom"/>
          </w:tcPr>
          <w:p w14:paraId="2928F962" w14:textId="77777777" w:rsidR="00EA185F" w:rsidRPr="007003B2" w:rsidRDefault="00EA185F" w:rsidP="00206464">
            <w:pPr>
              <w:spacing w:before="81" w:after="81" w:line="160" w:lineRule="exact"/>
              <w:ind w:left="144" w:right="40"/>
              <w:jc w:val="center"/>
              <w:rPr>
                <w:i/>
                <w:sz w:val="14"/>
                <w:lang w:val="en-GB"/>
              </w:rPr>
            </w:pPr>
            <w:r w:rsidRPr="007003B2">
              <w:rPr>
                <w:i/>
                <w:sz w:val="14"/>
                <w:lang w:val="en-GB"/>
              </w:rPr>
              <w:t>Changes</w:t>
            </w:r>
          </w:p>
        </w:tc>
        <w:tc>
          <w:tcPr>
            <w:tcW w:w="913" w:type="dxa"/>
            <w:vMerge w:val="restart"/>
            <w:tcBorders>
              <w:top w:val="single" w:sz="4" w:space="0" w:color="auto"/>
            </w:tcBorders>
            <w:shd w:val="clear" w:color="auto" w:fill="auto"/>
            <w:vAlign w:val="bottom"/>
          </w:tcPr>
          <w:p w14:paraId="23F3EC76"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2022 estimate (before recosting)</w:t>
            </w:r>
          </w:p>
        </w:tc>
      </w:tr>
      <w:tr w:rsidR="00EA185F" w:rsidRPr="007003B2" w14:paraId="6E93B089" w14:textId="77777777" w:rsidTr="00EF5A7F">
        <w:trPr>
          <w:tblHeader/>
        </w:trPr>
        <w:tc>
          <w:tcPr>
            <w:tcW w:w="2385" w:type="dxa"/>
            <w:tcBorders>
              <w:bottom w:val="single" w:sz="12" w:space="0" w:color="auto"/>
            </w:tcBorders>
            <w:shd w:val="clear" w:color="auto" w:fill="auto"/>
            <w:vAlign w:val="bottom"/>
          </w:tcPr>
          <w:p w14:paraId="5C8C7AD6" w14:textId="77777777" w:rsidR="00EA185F" w:rsidRPr="007003B2" w:rsidRDefault="00EA185F" w:rsidP="00206464">
            <w:pPr>
              <w:spacing w:before="81" w:after="81" w:line="160" w:lineRule="exact"/>
              <w:ind w:right="40"/>
              <w:rPr>
                <w:i/>
                <w:sz w:val="14"/>
                <w:lang w:val="en-GB"/>
              </w:rPr>
            </w:pPr>
          </w:p>
        </w:tc>
        <w:tc>
          <w:tcPr>
            <w:tcW w:w="925" w:type="dxa"/>
            <w:tcBorders>
              <w:bottom w:val="single" w:sz="12" w:space="0" w:color="auto"/>
            </w:tcBorders>
            <w:shd w:val="clear" w:color="auto" w:fill="auto"/>
            <w:vAlign w:val="bottom"/>
          </w:tcPr>
          <w:p w14:paraId="14514B25"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2020 expenditure</w:t>
            </w:r>
          </w:p>
        </w:tc>
        <w:tc>
          <w:tcPr>
            <w:tcW w:w="1043" w:type="dxa"/>
            <w:tcBorders>
              <w:bottom w:val="single" w:sz="12" w:space="0" w:color="auto"/>
            </w:tcBorders>
            <w:shd w:val="clear" w:color="auto" w:fill="auto"/>
            <w:vAlign w:val="bottom"/>
          </w:tcPr>
          <w:p w14:paraId="0DBC9765"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2021 appropriation</w:t>
            </w:r>
          </w:p>
        </w:tc>
        <w:tc>
          <w:tcPr>
            <w:tcW w:w="990" w:type="dxa"/>
            <w:tcBorders>
              <w:top w:val="single" w:sz="4" w:space="0" w:color="auto"/>
              <w:bottom w:val="single" w:sz="12" w:space="0" w:color="auto"/>
            </w:tcBorders>
            <w:shd w:val="clear" w:color="auto" w:fill="auto"/>
            <w:vAlign w:val="bottom"/>
          </w:tcPr>
          <w:p w14:paraId="1708C613"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Technical adjustments</w:t>
            </w:r>
          </w:p>
        </w:tc>
        <w:tc>
          <w:tcPr>
            <w:tcW w:w="970" w:type="dxa"/>
            <w:tcBorders>
              <w:top w:val="single" w:sz="4" w:space="0" w:color="auto"/>
              <w:bottom w:val="single" w:sz="12" w:space="0" w:color="auto"/>
            </w:tcBorders>
            <w:shd w:val="clear" w:color="auto" w:fill="auto"/>
            <w:vAlign w:val="bottom"/>
          </w:tcPr>
          <w:p w14:paraId="46A38C36"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New/ expanded mandates</w:t>
            </w:r>
          </w:p>
        </w:tc>
        <w:tc>
          <w:tcPr>
            <w:tcW w:w="873" w:type="dxa"/>
            <w:tcBorders>
              <w:top w:val="single" w:sz="4" w:space="0" w:color="auto"/>
              <w:bottom w:val="single" w:sz="12" w:space="0" w:color="auto"/>
            </w:tcBorders>
            <w:shd w:val="clear" w:color="auto" w:fill="auto"/>
            <w:vAlign w:val="bottom"/>
          </w:tcPr>
          <w:p w14:paraId="0B46CE22"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Other</w:t>
            </w:r>
          </w:p>
        </w:tc>
        <w:tc>
          <w:tcPr>
            <w:tcW w:w="776" w:type="dxa"/>
            <w:tcBorders>
              <w:top w:val="single" w:sz="4" w:space="0" w:color="auto"/>
              <w:bottom w:val="single" w:sz="12" w:space="0" w:color="auto"/>
            </w:tcBorders>
            <w:shd w:val="clear" w:color="auto" w:fill="auto"/>
            <w:vAlign w:val="bottom"/>
          </w:tcPr>
          <w:p w14:paraId="365EB203"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Total</w:t>
            </w:r>
          </w:p>
        </w:tc>
        <w:tc>
          <w:tcPr>
            <w:tcW w:w="971" w:type="dxa"/>
            <w:tcBorders>
              <w:top w:val="single" w:sz="4" w:space="0" w:color="auto"/>
              <w:bottom w:val="single" w:sz="12" w:space="0" w:color="auto"/>
            </w:tcBorders>
            <w:shd w:val="clear" w:color="auto" w:fill="auto"/>
            <w:vAlign w:val="bottom"/>
          </w:tcPr>
          <w:p w14:paraId="69DFF7C0"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Percentage</w:t>
            </w:r>
          </w:p>
        </w:tc>
        <w:tc>
          <w:tcPr>
            <w:tcW w:w="913" w:type="dxa"/>
            <w:vMerge/>
            <w:tcBorders>
              <w:bottom w:val="single" w:sz="12" w:space="0" w:color="auto"/>
            </w:tcBorders>
            <w:shd w:val="clear" w:color="auto" w:fill="auto"/>
            <w:vAlign w:val="bottom"/>
          </w:tcPr>
          <w:p w14:paraId="503078B6" w14:textId="77777777" w:rsidR="00EA185F" w:rsidRPr="007003B2" w:rsidRDefault="00EA185F" w:rsidP="00206464">
            <w:pPr>
              <w:spacing w:before="81" w:after="81" w:line="160" w:lineRule="exact"/>
              <w:ind w:left="144" w:right="40"/>
              <w:jc w:val="right"/>
              <w:rPr>
                <w:i/>
                <w:sz w:val="14"/>
                <w:lang w:val="en-GB"/>
              </w:rPr>
            </w:pPr>
          </w:p>
        </w:tc>
      </w:tr>
      <w:tr w:rsidR="00EA185F" w:rsidRPr="007003B2" w14:paraId="3E22D776" w14:textId="77777777" w:rsidTr="00EF5A7F">
        <w:trPr>
          <w:trHeight w:hRule="exact" w:val="115"/>
          <w:tblHeader/>
        </w:trPr>
        <w:tc>
          <w:tcPr>
            <w:tcW w:w="2385" w:type="dxa"/>
            <w:tcBorders>
              <w:top w:val="single" w:sz="12" w:space="0" w:color="auto"/>
            </w:tcBorders>
            <w:shd w:val="clear" w:color="auto" w:fill="auto"/>
            <w:vAlign w:val="bottom"/>
          </w:tcPr>
          <w:p w14:paraId="32E8707B" w14:textId="77777777" w:rsidR="00EA185F" w:rsidRPr="007003B2" w:rsidRDefault="00EA185F" w:rsidP="00206464">
            <w:pPr>
              <w:spacing w:before="40" w:after="40" w:line="210" w:lineRule="exact"/>
              <w:ind w:right="40"/>
              <w:rPr>
                <w:sz w:val="17"/>
                <w:lang w:val="en-GB"/>
              </w:rPr>
            </w:pPr>
          </w:p>
        </w:tc>
        <w:tc>
          <w:tcPr>
            <w:tcW w:w="925" w:type="dxa"/>
            <w:tcBorders>
              <w:top w:val="single" w:sz="12" w:space="0" w:color="auto"/>
            </w:tcBorders>
            <w:shd w:val="clear" w:color="auto" w:fill="auto"/>
            <w:vAlign w:val="bottom"/>
          </w:tcPr>
          <w:p w14:paraId="1A2FEA24" w14:textId="77777777" w:rsidR="00EA185F" w:rsidRPr="007003B2" w:rsidRDefault="00EA185F" w:rsidP="00206464">
            <w:pPr>
              <w:spacing w:before="40" w:after="40" w:line="210" w:lineRule="exact"/>
              <w:ind w:left="144" w:right="40"/>
              <w:jc w:val="right"/>
              <w:rPr>
                <w:sz w:val="17"/>
                <w:lang w:val="en-GB"/>
              </w:rPr>
            </w:pPr>
          </w:p>
        </w:tc>
        <w:tc>
          <w:tcPr>
            <w:tcW w:w="1043" w:type="dxa"/>
            <w:tcBorders>
              <w:top w:val="single" w:sz="12" w:space="0" w:color="auto"/>
            </w:tcBorders>
            <w:shd w:val="clear" w:color="auto" w:fill="auto"/>
            <w:vAlign w:val="bottom"/>
          </w:tcPr>
          <w:p w14:paraId="3B36172F" w14:textId="77777777" w:rsidR="00EA185F" w:rsidRPr="007003B2" w:rsidRDefault="00EA185F" w:rsidP="00206464">
            <w:pPr>
              <w:spacing w:before="40" w:after="40" w:line="210" w:lineRule="exact"/>
              <w:ind w:left="144" w:right="40"/>
              <w:jc w:val="right"/>
              <w:rPr>
                <w:sz w:val="17"/>
                <w:lang w:val="en-GB"/>
              </w:rPr>
            </w:pPr>
          </w:p>
        </w:tc>
        <w:tc>
          <w:tcPr>
            <w:tcW w:w="990" w:type="dxa"/>
            <w:tcBorders>
              <w:top w:val="single" w:sz="12" w:space="0" w:color="auto"/>
            </w:tcBorders>
            <w:shd w:val="clear" w:color="auto" w:fill="auto"/>
            <w:vAlign w:val="bottom"/>
          </w:tcPr>
          <w:p w14:paraId="25243114" w14:textId="77777777" w:rsidR="00EA185F" w:rsidRPr="007003B2" w:rsidRDefault="00EA185F" w:rsidP="00206464">
            <w:pPr>
              <w:spacing w:before="40" w:after="40" w:line="210" w:lineRule="exact"/>
              <w:ind w:left="144" w:right="40"/>
              <w:jc w:val="right"/>
              <w:rPr>
                <w:sz w:val="17"/>
                <w:lang w:val="en-GB"/>
              </w:rPr>
            </w:pPr>
          </w:p>
        </w:tc>
        <w:tc>
          <w:tcPr>
            <w:tcW w:w="970" w:type="dxa"/>
            <w:tcBorders>
              <w:top w:val="single" w:sz="12" w:space="0" w:color="auto"/>
            </w:tcBorders>
            <w:shd w:val="clear" w:color="auto" w:fill="auto"/>
            <w:vAlign w:val="bottom"/>
          </w:tcPr>
          <w:p w14:paraId="787B9F48" w14:textId="77777777" w:rsidR="00EA185F" w:rsidRPr="007003B2" w:rsidRDefault="00EA185F" w:rsidP="00206464">
            <w:pPr>
              <w:spacing w:before="40" w:after="40" w:line="210" w:lineRule="exact"/>
              <w:ind w:left="144" w:right="40"/>
              <w:jc w:val="right"/>
              <w:rPr>
                <w:sz w:val="17"/>
                <w:lang w:val="en-GB"/>
              </w:rPr>
            </w:pPr>
          </w:p>
        </w:tc>
        <w:tc>
          <w:tcPr>
            <w:tcW w:w="873" w:type="dxa"/>
            <w:tcBorders>
              <w:top w:val="single" w:sz="12" w:space="0" w:color="auto"/>
            </w:tcBorders>
            <w:shd w:val="clear" w:color="auto" w:fill="auto"/>
            <w:vAlign w:val="bottom"/>
          </w:tcPr>
          <w:p w14:paraId="399A9740" w14:textId="77777777" w:rsidR="00EA185F" w:rsidRPr="007003B2" w:rsidRDefault="00EA185F" w:rsidP="00206464">
            <w:pPr>
              <w:spacing w:before="40" w:after="40" w:line="210" w:lineRule="exact"/>
              <w:ind w:left="144" w:right="40"/>
              <w:jc w:val="right"/>
              <w:rPr>
                <w:sz w:val="17"/>
                <w:lang w:val="en-GB"/>
              </w:rPr>
            </w:pPr>
          </w:p>
        </w:tc>
        <w:tc>
          <w:tcPr>
            <w:tcW w:w="776" w:type="dxa"/>
            <w:tcBorders>
              <w:top w:val="single" w:sz="12" w:space="0" w:color="auto"/>
            </w:tcBorders>
            <w:shd w:val="clear" w:color="auto" w:fill="auto"/>
            <w:vAlign w:val="bottom"/>
          </w:tcPr>
          <w:p w14:paraId="7AA94318" w14:textId="77777777" w:rsidR="00EA185F" w:rsidRPr="007003B2" w:rsidRDefault="00EA185F" w:rsidP="00206464">
            <w:pPr>
              <w:spacing w:before="40" w:after="40" w:line="210" w:lineRule="exact"/>
              <w:ind w:left="144" w:right="40"/>
              <w:jc w:val="right"/>
              <w:rPr>
                <w:sz w:val="17"/>
                <w:lang w:val="en-GB"/>
              </w:rPr>
            </w:pPr>
          </w:p>
        </w:tc>
        <w:tc>
          <w:tcPr>
            <w:tcW w:w="971" w:type="dxa"/>
            <w:tcBorders>
              <w:top w:val="single" w:sz="12" w:space="0" w:color="auto"/>
            </w:tcBorders>
            <w:shd w:val="clear" w:color="auto" w:fill="auto"/>
            <w:vAlign w:val="bottom"/>
          </w:tcPr>
          <w:p w14:paraId="4A7FEF8C" w14:textId="77777777" w:rsidR="00EA185F" w:rsidRPr="007003B2" w:rsidRDefault="00EA185F" w:rsidP="00206464">
            <w:pPr>
              <w:spacing w:before="40" w:after="40" w:line="210" w:lineRule="exact"/>
              <w:ind w:left="144" w:right="40"/>
              <w:jc w:val="right"/>
              <w:rPr>
                <w:sz w:val="17"/>
                <w:lang w:val="en-GB"/>
              </w:rPr>
            </w:pPr>
          </w:p>
        </w:tc>
        <w:tc>
          <w:tcPr>
            <w:tcW w:w="913" w:type="dxa"/>
            <w:tcBorders>
              <w:top w:val="single" w:sz="12" w:space="0" w:color="auto"/>
            </w:tcBorders>
            <w:shd w:val="clear" w:color="auto" w:fill="auto"/>
            <w:vAlign w:val="bottom"/>
          </w:tcPr>
          <w:p w14:paraId="2915A334" w14:textId="77777777" w:rsidR="00EA185F" w:rsidRPr="007003B2" w:rsidRDefault="00EA185F" w:rsidP="00206464">
            <w:pPr>
              <w:spacing w:before="40" w:after="40" w:line="210" w:lineRule="exact"/>
              <w:ind w:left="144" w:right="40"/>
              <w:jc w:val="right"/>
              <w:rPr>
                <w:sz w:val="17"/>
                <w:lang w:val="en-GB"/>
              </w:rPr>
            </w:pPr>
          </w:p>
        </w:tc>
      </w:tr>
      <w:tr w:rsidR="00EA185F" w:rsidRPr="007003B2" w14:paraId="65438DEE" w14:textId="77777777" w:rsidTr="00206464">
        <w:tc>
          <w:tcPr>
            <w:tcW w:w="9846" w:type="dxa"/>
            <w:gridSpan w:val="9"/>
            <w:shd w:val="clear" w:color="auto" w:fill="auto"/>
            <w:vAlign w:val="bottom"/>
          </w:tcPr>
          <w:p w14:paraId="59B08DFA" w14:textId="77777777" w:rsidR="00EA185F" w:rsidRPr="007003B2" w:rsidRDefault="00EA185F" w:rsidP="00206464">
            <w:pPr>
              <w:tabs>
                <w:tab w:val="left" w:pos="288"/>
                <w:tab w:val="left" w:pos="576"/>
                <w:tab w:val="left" w:pos="864"/>
                <w:tab w:val="left" w:pos="1152"/>
              </w:tabs>
              <w:spacing w:before="40" w:after="40" w:line="210" w:lineRule="exact"/>
              <w:ind w:right="40"/>
              <w:rPr>
                <w:b/>
                <w:bCs/>
                <w:sz w:val="17"/>
                <w:lang w:val="en-GB"/>
              </w:rPr>
            </w:pPr>
            <w:r w:rsidRPr="007003B2">
              <w:rPr>
                <w:b/>
                <w:bCs/>
                <w:sz w:val="17"/>
                <w:lang w:val="en-GB"/>
              </w:rPr>
              <w:t>Financial resources by main category of expenditure</w:t>
            </w:r>
          </w:p>
        </w:tc>
      </w:tr>
      <w:tr w:rsidR="00EA185F" w:rsidRPr="007003B2" w14:paraId="5CE85759" w14:textId="77777777" w:rsidTr="00EF5A7F">
        <w:tc>
          <w:tcPr>
            <w:tcW w:w="2385" w:type="dxa"/>
            <w:shd w:val="clear" w:color="auto" w:fill="auto"/>
            <w:vAlign w:val="bottom"/>
          </w:tcPr>
          <w:p w14:paraId="6BA8C2B1" w14:textId="77777777" w:rsidR="00EA185F" w:rsidRPr="007003B2" w:rsidRDefault="00EA185F" w:rsidP="00206464">
            <w:pPr>
              <w:tabs>
                <w:tab w:val="left" w:pos="288"/>
                <w:tab w:val="left" w:pos="576"/>
                <w:tab w:val="left" w:pos="864"/>
                <w:tab w:val="left" w:pos="1152"/>
              </w:tabs>
              <w:spacing w:before="40" w:after="40" w:line="210" w:lineRule="exact"/>
              <w:ind w:right="40"/>
              <w:rPr>
                <w:sz w:val="17"/>
                <w:lang w:val="en-GB"/>
              </w:rPr>
            </w:pPr>
            <w:r w:rsidRPr="007003B2">
              <w:rPr>
                <w:sz w:val="17"/>
                <w:lang w:val="en-GB"/>
              </w:rPr>
              <w:t>Post</w:t>
            </w:r>
          </w:p>
        </w:tc>
        <w:tc>
          <w:tcPr>
            <w:tcW w:w="925" w:type="dxa"/>
            <w:shd w:val="clear" w:color="auto" w:fill="auto"/>
            <w:vAlign w:val="bottom"/>
          </w:tcPr>
          <w:p w14:paraId="4441FB55"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1 457.2</w:t>
            </w:r>
          </w:p>
        </w:tc>
        <w:tc>
          <w:tcPr>
            <w:tcW w:w="1043" w:type="dxa"/>
            <w:shd w:val="clear" w:color="auto" w:fill="auto"/>
            <w:vAlign w:val="bottom"/>
          </w:tcPr>
          <w:p w14:paraId="3253CF9C"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1 711.2</w:t>
            </w:r>
          </w:p>
        </w:tc>
        <w:tc>
          <w:tcPr>
            <w:tcW w:w="990" w:type="dxa"/>
            <w:shd w:val="clear" w:color="auto" w:fill="auto"/>
            <w:vAlign w:val="bottom"/>
          </w:tcPr>
          <w:p w14:paraId="54506472"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70" w:type="dxa"/>
            <w:shd w:val="clear" w:color="auto" w:fill="auto"/>
            <w:vAlign w:val="bottom"/>
          </w:tcPr>
          <w:p w14:paraId="2B2A3BE9"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873" w:type="dxa"/>
            <w:shd w:val="clear" w:color="auto" w:fill="auto"/>
            <w:vAlign w:val="bottom"/>
          </w:tcPr>
          <w:p w14:paraId="0E4932F6"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345.8</w:t>
            </w:r>
          </w:p>
        </w:tc>
        <w:tc>
          <w:tcPr>
            <w:tcW w:w="776" w:type="dxa"/>
            <w:shd w:val="clear" w:color="auto" w:fill="auto"/>
            <w:vAlign w:val="bottom"/>
          </w:tcPr>
          <w:p w14:paraId="2934CEA0"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345.8</w:t>
            </w:r>
          </w:p>
        </w:tc>
        <w:tc>
          <w:tcPr>
            <w:tcW w:w="971" w:type="dxa"/>
            <w:shd w:val="clear" w:color="auto" w:fill="auto"/>
            <w:vAlign w:val="bottom"/>
          </w:tcPr>
          <w:p w14:paraId="69E79FFF"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20.2</w:t>
            </w:r>
          </w:p>
        </w:tc>
        <w:tc>
          <w:tcPr>
            <w:tcW w:w="913" w:type="dxa"/>
            <w:shd w:val="clear" w:color="auto" w:fill="auto"/>
            <w:vAlign w:val="bottom"/>
          </w:tcPr>
          <w:p w14:paraId="75F1EB9A"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 xml:space="preserve">2 057.0 </w:t>
            </w:r>
          </w:p>
        </w:tc>
      </w:tr>
      <w:tr w:rsidR="00EA185F" w:rsidRPr="007003B2" w14:paraId="5D0E7183" w14:textId="77777777" w:rsidTr="00EF5A7F">
        <w:tc>
          <w:tcPr>
            <w:tcW w:w="2385" w:type="dxa"/>
            <w:tcBorders>
              <w:bottom w:val="single" w:sz="4" w:space="0" w:color="auto"/>
            </w:tcBorders>
            <w:shd w:val="clear" w:color="auto" w:fill="auto"/>
            <w:vAlign w:val="bottom"/>
          </w:tcPr>
          <w:p w14:paraId="586BDA75" w14:textId="77777777" w:rsidR="00EA185F" w:rsidRPr="007003B2" w:rsidRDefault="00EA185F" w:rsidP="00206464">
            <w:pPr>
              <w:tabs>
                <w:tab w:val="left" w:pos="288"/>
                <w:tab w:val="left" w:pos="576"/>
                <w:tab w:val="left" w:pos="864"/>
                <w:tab w:val="left" w:pos="1152"/>
              </w:tabs>
              <w:spacing w:before="40" w:after="81" w:line="210" w:lineRule="exact"/>
              <w:ind w:right="40"/>
              <w:rPr>
                <w:sz w:val="17"/>
                <w:lang w:val="en-GB"/>
              </w:rPr>
            </w:pPr>
            <w:r w:rsidRPr="007003B2">
              <w:rPr>
                <w:sz w:val="17"/>
                <w:lang w:val="en-GB"/>
              </w:rPr>
              <w:t>Non-post</w:t>
            </w:r>
          </w:p>
        </w:tc>
        <w:tc>
          <w:tcPr>
            <w:tcW w:w="925" w:type="dxa"/>
            <w:tcBorders>
              <w:bottom w:val="single" w:sz="4" w:space="0" w:color="auto"/>
            </w:tcBorders>
            <w:shd w:val="clear" w:color="auto" w:fill="auto"/>
            <w:vAlign w:val="bottom"/>
          </w:tcPr>
          <w:p w14:paraId="3CA88E46"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207.1</w:t>
            </w:r>
          </w:p>
        </w:tc>
        <w:tc>
          <w:tcPr>
            <w:tcW w:w="1043" w:type="dxa"/>
            <w:tcBorders>
              <w:bottom w:val="single" w:sz="4" w:space="0" w:color="auto"/>
            </w:tcBorders>
            <w:shd w:val="clear" w:color="auto" w:fill="auto"/>
            <w:vAlign w:val="bottom"/>
          </w:tcPr>
          <w:p w14:paraId="2966F01E"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211.6</w:t>
            </w:r>
          </w:p>
        </w:tc>
        <w:tc>
          <w:tcPr>
            <w:tcW w:w="990" w:type="dxa"/>
            <w:tcBorders>
              <w:bottom w:val="single" w:sz="4" w:space="0" w:color="auto"/>
            </w:tcBorders>
            <w:shd w:val="clear" w:color="auto" w:fill="auto"/>
            <w:vAlign w:val="bottom"/>
          </w:tcPr>
          <w:p w14:paraId="6D167CD2"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70" w:type="dxa"/>
            <w:tcBorders>
              <w:bottom w:val="single" w:sz="4" w:space="0" w:color="auto"/>
            </w:tcBorders>
            <w:shd w:val="clear" w:color="auto" w:fill="auto"/>
            <w:vAlign w:val="bottom"/>
          </w:tcPr>
          <w:p w14:paraId="12BF80E6"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150.1</w:t>
            </w:r>
          </w:p>
        </w:tc>
        <w:tc>
          <w:tcPr>
            <w:tcW w:w="873" w:type="dxa"/>
            <w:tcBorders>
              <w:bottom w:val="single" w:sz="4" w:space="0" w:color="auto"/>
            </w:tcBorders>
            <w:shd w:val="clear" w:color="auto" w:fill="auto"/>
            <w:vAlign w:val="bottom"/>
          </w:tcPr>
          <w:p w14:paraId="57C0ADBA"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82.0</w:t>
            </w:r>
          </w:p>
        </w:tc>
        <w:tc>
          <w:tcPr>
            <w:tcW w:w="776" w:type="dxa"/>
            <w:tcBorders>
              <w:bottom w:val="single" w:sz="4" w:space="0" w:color="auto"/>
            </w:tcBorders>
            <w:shd w:val="clear" w:color="auto" w:fill="auto"/>
            <w:vAlign w:val="bottom"/>
          </w:tcPr>
          <w:p w14:paraId="15D59EED"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232.1</w:t>
            </w:r>
          </w:p>
        </w:tc>
        <w:tc>
          <w:tcPr>
            <w:tcW w:w="971" w:type="dxa"/>
            <w:tcBorders>
              <w:bottom w:val="single" w:sz="4" w:space="0" w:color="auto"/>
            </w:tcBorders>
            <w:shd w:val="clear" w:color="auto" w:fill="auto"/>
            <w:vAlign w:val="bottom"/>
          </w:tcPr>
          <w:p w14:paraId="3F3EA238"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109.7</w:t>
            </w:r>
          </w:p>
        </w:tc>
        <w:tc>
          <w:tcPr>
            <w:tcW w:w="913" w:type="dxa"/>
            <w:tcBorders>
              <w:bottom w:val="single" w:sz="4" w:space="0" w:color="auto"/>
            </w:tcBorders>
            <w:shd w:val="clear" w:color="auto" w:fill="auto"/>
            <w:vAlign w:val="bottom"/>
          </w:tcPr>
          <w:p w14:paraId="60E21A0E"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443.7</w:t>
            </w:r>
          </w:p>
        </w:tc>
      </w:tr>
      <w:tr w:rsidR="00EA185F" w:rsidRPr="007003B2" w14:paraId="42C21013" w14:textId="77777777" w:rsidTr="00EF5A7F">
        <w:tc>
          <w:tcPr>
            <w:tcW w:w="2385" w:type="dxa"/>
            <w:tcBorders>
              <w:top w:val="single" w:sz="4" w:space="0" w:color="auto"/>
              <w:bottom w:val="single" w:sz="4" w:space="0" w:color="auto"/>
            </w:tcBorders>
            <w:shd w:val="clear" w:color="auto" w:fill="auto"/>
            <w:vAlign w:val="bottom"/>
          </w:tcPr>
          <w:p w14:paraId="0E25940C" w14:textId="77777777" w:rsidR="00EA185F" w:rsidRPr="007003B2" w:rsidRDefault="00EA185F" w:rsidP="00206464">
            <w:pPr>
              <w:tabs>
                <w:tab w:val="left" w:pos="288"/>
                <w:tab w:val="left" w:pos="576"/>
                <w:tab w:val="left" w:pos="864"/>
                <w:tab w:val="left" w:pos="1152"/>
              </w:tabs>
              <w:spacing w:before="81" w:after="81" w:line="210" w:lineRule="exact"/>
              <w:ind w:left="288" w:right="40"/>
              <w:rPr>
                <w:b/>
                <w:sz w:val="17"/>
                <w:lang w:val="en-GB"/>
              </w:rPr>
            </w:pPr>
            <w:r w:rsidRPr="007003B2">
              <w:rPr>
                <w:b/>
                <w:sz w:val="17"/>
                <w:lang w:val="en-GB"/>
              </w:rPr>
              <w:t>Total</w:t>
            </w:r>
          </w:p>
        </w:tc>
        <w:tc>
          <w:tcPr>
            <w:tcW w:w="925" w:type="dxa"/>
            <w:tcBorders>
              <w:top w:val="single" w:sz="4" w:space="0" w:color="auto"/>
              <w:bottom w:val="single" w:sz="4" w:space="0" w:color="auto"/>
            </w:tcBorders>
            <w:shd w:val="clear" w:color="auto" w:fill="auto"/>
            <w:vAlign w:val="bottom"/>
          </w:tcPr>
          <w:p w14:paraId="52AD4196"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1 664.3</w:t>
            </w:r>
          </w:p>
        </w:tc>
        <w:tc>
          <w:tcPr>
            <w:tcW w:w="1043" w:type="dxa"/>
            <w:tcBorders>
              <w:top w:val="single" w:sz="4" w:space="0" w:color="auto"/>
              <w:bottom w:val="single" w:sz="4" w:space="0" w:color="auto"/>
            </w:tcBorders>
            <w:shd w:val="clear" w:color="auto" w:fill="auto"/>
            <w:vAlign w:val="bottom"/>
          </w:tcPr>
          <w:p w14:paraId="5BB9FE4B"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1 922.8</w:t>
            </w:r>
          </w:p>
        </w:tc>
        <w:tc>
          <w:tcPr>
            <w:tcW w:w="990" w:type="dxa"/>
            <w:tcBorders>
              <w:top w:val="single" w:sz="4" w:space="0" w:color="auto"/>
              <w:bottom w:val="single" w:sz="4" w:space="0" w:color="auto"/>
            </w:tcBorders>
            <w:shd w:val="clear" w:color="auto" w:fill="auto"/>
            <w:vAlign w:val="bottom"/>
          </w:tcPr>
          <w:p w14:paraId="095D652E"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970" w:type="dxa"/>
            <w:tcBorders>
              <w:top w:val="single" w:sz="4" w:space="0" w:color="auto"/>
              <w:bottom w:val="single" w:sz="4" w:space="0" w:color="auto"/>
            </w:tcBorders>
            <w:shd w:val="clear" w:color="auto" w:fill="auto"/>
            <w:vAlign w:val="bottom"/>
          </w:tcPr>
          <w:p w14:paraId="5EFF58B2"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150.1</w:t>
            </w:r>
          </w:p>
        </w:tc>
        <w:tc>
          <w:tcPr>
            <w:tcW w:w="873" w:type="dxa"/>
            <w:tcBorders>
              <w:top w:val="single" w:sz="4" w:space="0" w:color="auto"/>
              <w:bottom w:val="single" w:sz="4" w:space="0" w:color="auto"/>
            </w:tcBorders>
            <w:shd w:val="clear" w:color="auto" w:fill="auto"/>
            <w:vAlign w:val="bottom"/>
          </w:tcPr>
          <w:p w14:paraId="04FA8D58"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427.8</w:t>
            </w:r>
          </w:p>
        </w:tc>
        <w:tc>
          <w:tcPr>
            <w:tcW w:w="776" w:type="dxa"/>
            <w:tcBorders>
              <w:top w:val="single" w:sz="4" w:space="0" w:color="auto"/>
              <w:bottom w:val="single" w:sz="4" w:space="0" w:color="auto"/>
            </w:tcBorders>
            <w:shd w:val="clear" w:color="auto" w:fill="auto"/>
            <w:vAlign w:val="bottom"/>
          </w:tcPr>
          <w:p w14:paraId="1B0D12EE"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577.9</w:t>
            </w:r>
          </w:p>
        </w:tc>
        <w:tc>
          <w:tcPr>
            <w:tcW w:w="971" w:type="dxa"/>
            <w:tcBorders>
              <w:top w:val="single" w:sz="4" w:space="0" w:color="auto"/>
              <w:bottom w:val="single" w:sz="4" w:space="0" w:color="auto"/>
            </w:tcBorders>
            <w:shd w:val="clear" w:color="auto" w:fill="auto"/>
            <w:vAlign w:val="bottom"/>
          </w:tcPr>
          <w:p w14:paraId="5F9C0382"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30.1</w:t>
            </w:r>
          </w:p>
        </w:tc>
        <w:tc>
          <w:tcPr>
            <w:tcW w:w="913" w:type="dxa"/>
            <w:tcBorders>
              <w:top w:val="single" w:sz="4" w:space="0" w:color="auto"/>
              <w:bottom w:val="single" w:sz="4" w:space="0" w:color="auto"/>
            </w:tcBorders>
            <w:shd w:val="clear" w:color="auto" w:fill="auto"/>
            <w:vAlign w:val="bottom"/>
          </w:tcPr>
          <w:p w14:paraId="7F3F8444"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2 500.7</w:t>
            </w:r>
          </w:p>
        </w:tc>
      </w:tr>
      <w:tr w:rsidR="00EA185F" w:rsidRPr="007003B2" w14:paraId="6626B14B" w14:textId="77777777" w:rsidTr="00206464">
        <w:tc>
          <w:tcPr>
            <w:tcW w:w="9846" w:type="dxa"/>
            <w:gridSpan w:val="9"/>
            <w:tcBorders>
              <w:top w:val="single" w:sz="4" w:space="0" w:color="auto"/>
            </w:tcBorders>
            <w:shd w:val="clear" w:color="auto" w:fill="auto"/>
            <w:vAlign w:val="bottom"/>
          </w:tcPr>
          <w:p w14:paraId="29EF8DFB" w14:textId="77777777" w:rsidR="00EA185F" w:rsidRPr="007003B2" w:rsidRDefault="00EA185F" w:rsidP="00206464">
            <w:pPr>
              <w:tabs>
                <w:tab w:val="left" w:pos="288"/>
                <w:tab w:val="left" w:pos="576"/>
                <w:tab w:val="left" w:pos="864"/>
                <w:tab w:val="left" w:pos="1152"/>
              </w:tabs>
              <w:spacing w:before="81" w:after="40" w:line="210" w:lineRule="exact"/>
              <w:ind w:right="40"/>
              <w:rPr>
                <w:b/>
                <w:bCs/>
                <w:sz w:val="17"/>
                <w:lang w:val="en-GB"/>
              </w:rPr>
            </w:pPr>
            <w:r w:rsidRPr="007003B2">
              <w:rPr>
                <w:b/>
                <w:bCs/>
                <w:sz w:val="17"/>
                <w:lang w:val="en-GB"/>
              </w:rPr>
              <w:t>Post resources by category</w:t>
            </w:r>
          </w:p>
        </w:tc>
      </w:tr>
      <w:tr w:rsidR="00EA185F" w:rsidRPr="007003B2" w14:paraId="7D21EA8B" w14:textId="77777777" w:rsidTr="00EF5A7F">
        <w:tc>
          <w:tcPr>
            <w:tcW w:w="2385" w:type="dxa"/>
            <w:shd w:val="clear" w:color="auto" w:fill="auto"/>
            <w:vAlign w:val="bottom"/>
          </w:tcPr>
          <w:p w14:paraId="756C85A6" w14:textId="77777777" w:rsidR="00EA185F" w:rsidRPr="007003B2" w:rsidRDefault="00EA185F" w:rsidP="00206464">
            <w:pPr>
              <w:tabs>
                <w:tab w:val="left" w:pos="288"/>
                <w:tab w:val="left" w:pos="576"/>
                <w:tab w:val="left" w:pos="864"/>
                <w:tab w:val="left" w:pos="1152"/>
              </w:tabs>
              <w:spacing w:before="40" w:after="40" w:line="210" w:lineRule="exact"/>
              <w:ind w:right="40"/>
              <w:rPr>
                <w:sz w:val="17"/>
                <w:lang w:val="en-GB"/>
              </w:rPr>
            </w:pPr>
            <w:r w:rsidRPr="007003B2">
              <w:rPr>
                <w:sz w:val="17"/>
                <w:lang w:val="en-GB"/>
              </w:rPr>
              <w:t>Professional and higher</w:t>
            </w:r>
          </w:p>
        </w:tc>
        <w:tc>
          <w:tcPr>
            <w:tcW w:w="925" w:type="dxa"/>
            <w:shd w:val="clear" w:color="auto" w:fill="auto"/>
            <w:vAlign w:val="bottom"/>
          </w:tcPr>
          <w:p w14:paraId="5F5037B9"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p>
        </w:tc>
        <w:tc>
          <w:tcPr>
            <w:tcW w:w="1043" w:type="dxa"/>
            <w:shd w:val="clear" w:color="auto" w:fill="auto"/>
            <w:vAlign w:val="bottom"/>
          </w:tcPr>
          <w:p w14:paraId="2376AF51"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8</w:t>
            </w:r>
          </w:p>
        </w:tc>
        <w:tc>
          <w:tcPr>
            <w:tcW w:w="990" w:type="dxa"/>
            <w:shd w:val="clear" w:color="auto" w:fill="auto"/>
            <w:vAlign w:val="bottom"/>
          </w:tcPr>
          <w:p w14:paraId="1B307A9D"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70" w:type="dxa"/>
            <w:shd w:val="clear" w:color="auto" w:fill="auto"/>
            <w:vAlign w:val="bottom"/>
          </w:tcPr>
          <w:p w14:paraId="2DDC97C0"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873" w:type="dxa"/>
            <w:shd w:val="clear" w:color="auto" w:fill="auto"/>
            <w:vAlign w:val="bottom"/>
          </w:tcPr>
          <w:p w14:paraId="02B67BDE"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2</w:t>
            </w:r>
          </w:p>
        </w:tc>
        <w:tc>
          <w:tcPr>
            <w:tcW w:w="776" w:type="dxa"/>
            <w:shd w:val="clear" w:color="auto" w:fill="auto"/>
            <w:vAlign w:val="bottom"/>
          </w:tcPr>
          <w:p w14:paraId="2DBAA255"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2</w:t>
            </w:r>
          </w:p>
        </w:tc>
        <w:tc>
          <w:tcPr>
            <w:tcW w:w="971" w:type="dxa"/>
            <w:shd w:val="clear" w:color="auto" w:fill="auto"/>
            <w:vAlign w:val="bottom"/>
          </w:tcPr>
          <w:p w14:paraId="6BF25093"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25</w:t>
            </w:r>
          </w:p>
        </w:tc>
        <w:tc>
          <w:tcPr>
            <w:tcW w:w="913" w:type="dxa"/>
            <w:shd w:val="clear" w:color="auto" w:fill="auto"/>
            <w:vAlign w:val="bottom"/>
          </w:tcPr>
          <w:p w14:paraId="4A0A0300"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 xml:space="preserve">10 </w:t>
            </w:r>
          </w:p>
        </w:tc>
      </w:tr>
      <w:tr w:rsidR="00EA185F" w:rsidRPr="007003B2" w14:paraId="6BB3BF19" w14:textId="77777777" w:rsidTr="00EF5A7F">
        <w:tc>
          <w:tcPr>
            <w:tcW w:w="2385" w:type="dxa"/>
            <w:tcBorders>
              <w:bottom w:val="single" w:sz="4" w:space="0" w:color="auto"/>
            </w:tcBorders>
            <w:shd w:val="clear" w:color="auto" w:fill="auto"/>
            <w:vAlign w:val="bottom"/>
          </w:tcPr>
          <w:p w14:paraId="192FC4A5" w14:textId="77777777" w:rsidR="00EA185F" w:rsidRPr="007003B2" w:rsidRDefault="00EA185F" w:rsidP="00206464">
            <w:pPr>
              <w:tabs>
                <w:tab w:val="left" w:pos="288"/>
                <w:tab w:val="left" w:pos="576"/>
                <w:tab w:val="left" w:pos="864"/>
                <w:tab w:val="left" w:pos="1152"/>
              </w:tabs>
              <w:spacing w:before="40" w:after="81" w:line="210" w:lineRule="exact"/>
              <w:ind w:right="40"/>
              <w:rPr>
                <w:sz w:val="17"/>
                <w:lang w:val="en-GB"/>
              </w:rPr>
            </w:pPr>
            <w:r w:rsidRPr="007003B2">
              <w:rPr>
                <w:sz w:val="17"/>
                <w:lang w:val="en-GB"/>
              </w:rPr>
              <w:t>General Service and related</w:t>
            </w:r>
          </w:p>
        </w:tc>
        <w:tc>
          <w:tcPr>
            <w:tcW w:w="925" w:type="dxa"/>
            <w:tcBorders>
              <w:bottom w:val="single" w:sz="4" w:space="0" w:color="auto"/>
            </w:tcBorders>
            <w:shd w:val="clear" w:color="auto" w:fill="auto"/>
            <w:vAlign w:val="bottom"/>
          </w:tcPr>
          <w:p w14:paraId="5897A204"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p>
        </w:tc>
        <w:tc>
          <w:tcPr>
            <w:tcW w:w="1043" w:type="dxa"/>
            <w:tcBorders>
              <w:bottom w:val="single" w:sz="4" w:space="0" w:color="auto"/>
            </w:tcBorders>
            <w:shd w:val="clear" w:color="auto" w:fill="auto"/>
            <w:vAlign w:val="bottom"/>
          </w:tcPr>
          <w:p w14:paraId="4C2F5682"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4</w:t>
            </w:r>
          </w:p>
        </w:tc>
        <w:tc>
          <w:tcPr>
            <w:tcW w:w="990" w:type="dxa"/>
            <w:tcBorders>
              <w:bottom w:val="single" w:sz="4" w:space="0" w:color="auto"/>
            </w:tcBorders>
            <w:shd w:val="clear" w:color="auto" w:fill="auto"/>
            <w:vAlign w:val="bottom"/>
          </w:tcPr>
          <w:p w14:paraId="4F169803"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70" w:type="dxa"/>
            <w:tcBorders>
              <w:bottom w:val="single" w:sz="4" w:space="0" w:color="auto"/>
            </w:tcBorders>
            <w:shd w:val="clear" w:color="auto" w:fill="auto"/>
            <w:vAlign w:val="bottom"/>
          </w:tcPr>
          <w:p w14:paraId="30D27C50"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73" w:type="dxa"/>
            <w:tcBorders>
              <w:bottom w:val="single" w:sz="4" w:space="0" w:color="auto"/>
            </w:tcBorders>
            <w:shd w:val="clear" w:color="auto" w:fill="auto"/>
            <w:vAlign w:val="bottom"/>
          </w:tcPr>
          <w:p w14:paraId="15F7DF02"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776" w:type="dxa"/>
            <w:tcBorders>
              <w:bottom w:val="single" w:sz="4" w:space="0" w:color="auto"/>
            </w:tcBorders>
            <w:shd w:val="clear" w:color="auto" w:fill="auto"/>
            <w:vAlign w:val="bottom"/>
          </w:tcPr>
          <w:p w14:paraId="61331050"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71" w:type="dxa"/>
            <w:tcBorders>
              <w:bottom w:val="single" w:sz="4" w:space="0" w:color="auto"/>
            </w:tcBorders>
            <w:shd w:val="clear" w:color="auto" w:fill="auto"/>
            <w:vAlign w:val="bottom"/>
          </w:tcPr>
          <w:p w14:paraId="7F05BCED"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13" w:type="dxa"/>
            <w:tcBorders>
              <w:bottom w:val="single" w:sz="4" w:space="0" w:color="auto"/>
            </w:tcBorders>
            <w:shd w:val="clear" w:color="auto" w:fill="auto"/>
            <w:vAlign w:val="bottom"/>
          </w:tcPr>
          <w:p w14:paraId="1A2DD792"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 xml:space="preserve">4 </w:t>
            </w:r>
          </w:p>
        </w:tc>
      </w:tr>
      <w:tr w:rsidR="00EA185F" w:rsidRPr="007003B2" w14:paraId="35C2B0DA" w14:textId="77777777" w:rsidTr="00EF5A7F">
        <w:tc>
          <w:tcPr>
            <w:tcW w:w="2385" w:type="dxa"/>
            <w:tcBorders>
              <w:top w:val="single" w:sz="4" w:space="0" w:color="auto"/>
              <w:bottom w:val="single" w:sz="12" w:space="0" w:color="auto"/>
            </w:tcBorders>
            <w:shd w:val="clear" w:color="auto" w:fill="auto"/>
            <w:vAlign w:val="bottom"/>
          </w:tcPr>
          <w:p w14:paraId="69B711B9" w14:textId="77777777" w:rsidR="00EA185F" w:rsidRPr="007003B2" w:rsidRDefault="00EA185F" w:rsidP="00206464">
            <w:pPr>
              <w:tabs>
                <w:tab w:val="left" w:pos="288"/>
                <w:tab w:val="left" w:pos="576"/>
                <w:tab w:val="left" w:pos="864"/>
                <w:tab w:val="left" w:pos="1152"/>
              </w:tabs>
              <w:spacing w:before="81" w:after="81" w:line="210" w:lineRule="exact"/>
              <w:ind w:left="288" w:right="40"/>
              <w:rPr>
                <w:b/>
                <w:sz w:val="17"/>
                <w:lang w:val="en-GB"/>
              </w:rPr>
            </w:pPr>
            <w:r w:rsidRPr="007003B2">
              <w:rPr>
                <w:b/>
                <w:sz w:val="17"/>
                <w:lang w:val="en-GB"/>
              </w:rPr>
              <w:t>Total</w:t>
            </w:r>
          </w:p>
        </w:tc>
        <w:tc>
          <w:tcPr>
            <w:tcW w:w="925" w:type="dxa"/>
            <w:tcBorders>
              <w:top w:val="single" w:sz="4" w:space="0" w:color="auto"/>
              <w:bottom w:val="single" w:sz="12" w:space="0" w:color="auto"/>
            </w:tcBorders>
            <w:shd w:val="clear" w:color="auto" w:fill="auto"/>
            <w:vAlign w:val="bottom"/>
          </w:tcPr>
          <w:p w14:paraId="2F2FD8EC"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p>
        </w:tc>
        <w:tc>
          <w:tcPr>
            <w:tcW w:w="1043" w:type="dxa"/>
            <w:tcBorders>
              <w:top w:val="single" w:sz="4" w:space="0" w:color="auto"/>
              <w:bottom w:val="single" w:sz="12" w:space="0" w:color="auto"/>
            </w:tcBorders>
            <w:shd w:val="clear" w:color="auto" w:fill="auto"/>
            <w:vAlign w:val="bottom"/>
          </w:tcPr>
          <w:p w14:paraId="59A1B318"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12</w:t>
            </w:r>
          </w:p>
        </w:tc>
        <w:tc>
          <w:tcPr>
            <w:tcW w:w="990" w:type="dxa"/>
            <w:tcBorders>
              <w:top w:val="single" w:sz="4" w:space="0" w:color="auto"/>
              <w:bottom w:val="single" w:sz="12" w:space="0" w:color="auto"/>
            </w:tcBorders>
            <w:shd w:val="clear" w:color="auto" w:fill="auto"/>
            <w:vAlign w:val="bottom"/>
          </w:tcPr>
          <w:p w14:paraId="2B6085FF"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970" w:type="dxa"/>
            <w:tcBorders>
              <w:top w:val="single" w:sz="4" w:space="0" w:color="auto"/>
              <w:bottom w:val="single" w:sz="12" w:space="0" w:color="auto"/>
            </w:tcBorders>
            <w:shd w:val="clear" w:color="auto" w:fill="auto"/>
            <w:vAlign w:val="bottom"/>
          </w:tcPr>
          <w:p w14:paraId="31015F27"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873" w:type="dxa"/>
            <w:tcBorders>
              <w:top w:val="single" w:sz="4" w:space="0" w:color="auto"/>
              <w:bottom w:val="single" w:sz="12" w:space="0" w:color="auto"/>
            </w:tcBorders>
            <w:shd w:val="clear" w:color="auto" w:fill="auto"/>
            <w:vAlign w:val="bottom"/>
          </w:tcPr>
          <w:p w14:paraId="1CAC3B01"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w:t>
            </w:r>
          </w:p>
        </w:tc>
        <w:tc>
          <w:tcPr>
            <w:tcW w:w="776" w:type="dxa"/>
            <w:tcBorders>
              <w:top w:val="single" w:sz="4" w:space="0" w:color="auto"/>
              <w:bottom w:val="single" w:sz="12" w:space="0" w:color="auto"/>
            </w:tcBorders>
            <w:shd w:val="clear" w:color="auto" w:fill="auto"/>
            <w:vAlign w:val="bottom"/>
          </w:tcPr>
          <w:p w14:paraId="1660550E"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2</w:t>
            </w:r>
          </w:p>
        </w:tc>
        <w:tc>
          <w:tcPr>
            <w:tcW w:w="971" w:type="dxa"/>
            <w:tcBorders>
              <w:top w:val="single" w:sz="4" w:space="0" w:color="auto"/>
              <w:bottom w:val="single" w:sz="12" w:space="0" w:color="auto"/>
            </w:tcBorders>
            <w:shd w:val="clear" w:color="auto" w:fill="auto"/>
            <w:vAlign w:val="bottom"/>
          </w:tcPr>
          <w:p w14:paraId="08ABBCB3"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17</w:t>
            </w:r>
          </w:p>
        </w:tc>
        <w:tc>
          <w:tcPr>
            <w:tcW w:w="913" w:type="dxa"/>
            <w:tcBorders>
              <w:top w:val="single" w:sz="4" w:space="0" w:color="auto"/>
              <w:bottom w:val="single" w:sz="12" w:space="0" w:color="auto"/>
            </w:tcBorders>
            <w:shd w:val="clear" w:color="auto" w:fill="auto"/>
            <w:vAlign w:val="bottom"/>
          </w:tcPr>
          <w:p w14:paraId="3F72E4DC"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 xml:space="preserve">14 </w:t>
            </w:r>
          </w:p>
        </w:tc>
      </w:tr>
    </w:tbl>
    <w:p w14:paraId="09076860"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C3BE1CB"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47DA84F" w14:textId="77777777" w:rsidR="00EF5A7F" w:rsidRDefault="00EF5A7F">
      <w:pPr>
        <w:suppressAutoHyphens w:val="0"/>
        <w:spacing w:after="200" w:line="276" w:lineRule="auto"/>
        <w:rPr>
          <w:bCs/>
        </w:rPr>
      </w:pPr>
      <w:r>
        <w:rPr>
          <w:b/>
          <w:bCs/>
        </w:rPr>
        <w:br w:type="page"/>
      </w:r>
    </w:p>
    <w:p w14:paraId="20522E6C" w14:textId="0FE9B97D"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7003B2">
        <w:rPr>
          <w:b w:val="0"/>
          <w:bCs/>
          <w:lang w:val="en-GB"/>
        </w:rPr>
        <w:lastRenderedPageBreak/>
        <w:t>Figure 15.XIX</w:t>
      </w:r>
    </w:p>
    <w:p w14:paraId="0BCB9A83"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Subprogramme 4: distribution of proposed resources for 2022 (before recosting)</w:t>
      </w:r>
    </w:p>
    <w:p w14:paraId="1CF34CB0"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 xml:space="preserve">(Number of posts/thousands of United States dollars) </w:t>
      </w:r>
    </w:p>
    <w:p w14:paraId="3CD1BF26" w14:textId="1104A0FF" w:rsidR="00EA185F" w:rsidRPr="007003B2" w:rsidRDefault="007C43D4"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lang w:val="en-US"/>
        </w:rPr>
        <w:drawing>
          <wp:anchor distT="0" distB="0" distL="114300" distR="114300" simplePos="0" relativeHeight="251703296" behindDoc="0" locked="0" layoutInCell="1" allowOverlap="1" wp14:anchorId="3C1FE8A2" wp14:editId="79A11679">
            <wp:simplePos x="0" y="0"/>
            <wp:positionH relativeFrom="margin">
              <wp:align>left</wp:align>
            </wp:positionH>
            <wp:positionV relativeFrom="paragraph">
              <wp:posOffset>152400</wp:posOffset>
            </wp:positionV>
            <wp:extent cx="6238875" cy="3200400"/>
            <wp:effectExtent l="0" t="0" r="9525"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1">
                      <a:extLst>
                        <a:ext uri="{28A0092B-C50C-407E-A947-70E740481C1C}">
                          <a14:useLocalDpi xmlns:a14="http://schemas.microsoft.com/office/drawing/2010/main" val="0"/>
                        </a:ext>
                      </a:extLst>
                    </a:blip>
                    <a:srcRect l="16466" r="15588" b="8203"/>
                    <a:stretch/>
                  </pic:blipFill>
                  <pic:spPr bwMode="auto">
                    <a:xfrm>
                      <a:off x="0" y="0"/>
                      <a:ext cx="6238875" cy="320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59EEC05" w14:textId="5BF5909A"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748D5BA"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03C147E"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BEAEA09"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7003B2">
        <w:rPr>
          <w:lang w:val="en-GB"/>
        </w:rPr>
        <w:t>Extrabudgetary resources</w:t>
      </w:r>
    </w:p>
    <w:p w14:paraId="4E2120F4"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7FA07A1" w14:textId="34284358"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15.16</w:t>
      </w:r>
      <w:r w:rsidR="007B5582">
        <w:t>5</w:t>
      </w:r>
      <w:r w:rsidRPr="007003B2">
        <w:tab/>
        <w:t>Extrabudgetary resources for the subprogramme are estimated at $59,753,500 and would provide for 21 posts (2 D-2, 1 D-1, 2 P-5, 2 P-4, 1 P-3, 1 NPO and 12 LL), as well as non-post resources. The resources would be used mainly to implement technical cooperation projects with requesting countries aimed at ensuring the sustainable return of internally displaced persons through the provision of basic services and the improvement of living conditions, with a focus on vocational training and job creation. Furthermore, under the subprogramme, UN-Habitat also intends to use extrabudgetary resources to roll out resilience-building programmes and tools in order to support cities in their efforts to gather and analyse resilience data, understand risks and create realistic action plans that will potentially improve the lives of all urban populations affected by crises (natural or man-made).</w:t>
      </w:r>
    </w:p>
    <w:p w14:paraId="7E03A744" w14:textId="7BD10DF2"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15.16</w:t>
      </w:r>
      <w:r w:rsidR="007B5582">
        <w:t>6</w:t>
      </w:r>
      <w:r w:rsidRPr="007003B2">
        <w:tab/>
        <w:t xml:space="preserve">The expected increase of $484,000 is attributable mainly to the increased demand for technical cooperation projects that promote effective urban crisis prevention and response. </w:t>
      </w:r>
    </w:p>
    <w:p w14:paraId="6D34DE9A"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204CA060"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6B1420A" w14:textId="77777777" w:rsidR="00EA185F" w:rsidRPr="007003B2" w:rsidRDefault="00EA185F" w:rsidP="00EA185F">
      <w:pPr>
        <w:pStyle w:val="H1"/>
        <w:ind w:left="2534" w:right="1260"/>
      </w:pPr>
      <w:r w:rsidRPr="007003B2">
        <w:t>Programme support</w:t>
      </w:r>
    </w:p>
    <w:p w14:paraId="493F5831"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E27327C"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0C87AFD" w14:textId="0A5B75CA"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15.16</w:t>
      </w:r>
      <w:r w:rsidR="007B5582">
        <w:t>7</w:t>
      </w:r>
      <w:r w:rsidRPr="007003B2">
        <w:tab/>
        <w:t>The proposed regular budget resources for 2022 amount to $1,122,000, which is equal to the level of the appropriation for 2021. Additional details on the distribution of the proposed resources for 2022 are reflected in table 15.25 and figure 15.XX.</w:t>
      </w:r>
    </w:p>
    <w:p w14:paraId="062321BE"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852A77E" w14:textId="77777777" w:rsidR="007C43D4" w:rsidRDefault="007C43D4">
      <w:pPr>
        <w:suppressAutoHyphens w:val="0"/>
        <w:spacing w:after="200" w:line="276" w:lineRule="auto"/>
        <w:rPr>
          <w:bCs/>
        </w:rPr>
      </w:pPr>
      <w:r>
        <w:rPr>
          <w:b/>
          <w:bCs/>
        </w:rPr>
        <w:br w:type="page"/>
      </w:r>
    </w:p>
    <w:p w14:paraId="0CD223BC" w14:textId="69C226AD"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7003B2">
        <w:rPr>
          <w:b w:val="0"/>
          <w:bCs/>
          <w:lang w:val="en-GB"/>
        </w:rPr>
        <w:lastRenderedPageBreak/>
        <w:t>Table 15.25</w:t>
      </w:r>
    </w:p>
    <w:p w14:paraId="74B18F21"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Programme support: evolution of financial and post resources</w:t>
      </w:r>
    </w:p>
    <w:p w14:paraId="5ACCC8CB"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(Thousands of United States dollars/number of posts)</w:t>
      </w:r>
    </w:p>
    <w:p w14:paraId="7D3FEB7C"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1839E8CA"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60"/>
        <w:gridCol w:w="1076"/>
        <w:gridCol w:w="1143"/>
        <w:gridCol w:w="1143"/>
        <w:gridCol w:w="857"/>
        <w:gridCol w:w="857"/>
        <w:gridCol w:w="762"/>
        <w:gridCol w:w="953"/>
        <w:gridCol w:w="895"/>
      </w:tblGrid>
      <w:tr w:rsidR="00EA185F" w:rsidRPr="007003B2" w14:paraId="6EAAD9F2" w14:textId="77777777" w:rsidTr="00206464">
        <w:trPr>
          <w:tblHeader/>
        </w:trPr>
        <w:tc>
          <w:tcPr>
            <w:tcW w:w="2160" w:type="dxa"/>
            <w:tcBorders>
              <w:top w:val="single" w:sz="4" w:space="0" w:color="auto"/>
            </w:tcBorders>
            <w:shd w:val="clear" w:color="auto" w:fill="auto"/>
            <w:vAlign w:val="bottom"/>
          </w:tcPr>
          <w:p w14:paraId="00A440DD" w14:textId="77777777" w:rsidR="00EA185F" w:rsidRPr="007003B2" w:rsidRDefault="00EA185F" w:rsidP="00206464">
            <w:pPr>
              <w:spacing w:before="81" w:after="81" w:line="160" w:lineRule="exact"/>
              <w:ind w:right="40"/>
              <w:rPr>
                <w:i/>
                <w:sz w:val="14"/>
                <w:lang w:val="en-GB"/>
              </w:rPr>
            </w:pPr>
          </w:p>
        </w:tc>
        <w:tc>
          <w:tcPr>
            <w:tcW w:w="1076" w:type="dxa"/>
            <w:tcBorders>
              <w:top w:val="single" w:sz="4" w:space="0" w:color="auto"/>
            </w:tcBorders>
            <w:shd w:val="clear" w:color="auto" w:fill="auto"/>
            <w:vAlign w:val="bottom"/>
          </w:tcPr>
          <w:p w14:paraId="38590998" w14:textId="77777777" w:rsidR="00EA185F" w:rsidRPr="007003B2" w:rsidRDefault="00EA185F" w:rsidP="00206464">
            <w:pPr>
              <w:spacing w:before="81" w:after="81" w:line="160" w:lineRule="exact"/>
              <w:ind w:left="144" w:right="40"/>
              <w:jc w:val="right"/>
              <w:rPr>
                <w:i/>
                <w:sz w:val="14"/>
                <w:lang w:val="en-GB"/>
              </w:rPr>
            </w:pPr>
          </w:p>
        </w:tc>
        <w:tc>
          <w:tcPr>
            <w:tcW w:w="1143" w:type="dxa"/>
            <w:tcBorders>
              <w:top w:val="single" w:sz="4" w:space="0" w:color="auto"/>
            </w:tcBorders>
            <w:shd w:val="clear" w:color="auto" w:fill="auto"/>
            <w:vAlign w:val="bottom"/>
          </w:tcPr>
          <w:p w14:paraId="4AD1E59C" w14:textId="77777777" w:rsidR="00EA185F" w:rsidRPr="007003B2" w:rsidRDefault="00EA185F" w:rsidP="00206464">
            <w:pPr>
              <w:spacing w:before="81" w:after="81" w:line="160" w:lineRule="exact"/>
              <w:ind w:left="144" w:right="40"/>
              <w:jc w:val="right"/>
              <w:rPr>
                <w:i/>
                <w:sz w:val="14"/>
                <w:lang w:val="en-GB"/>
              </w:rPr>
            </w:pPr>
          </w:p>
        </w:tc>
        <w:tc>
          <w:tcPr>
            <w:tcW w:w="4572" w:type="dxa"/>
            <w:gridSpan w:val="5"/>
            <w:tcBorders>
              <w:top w:val="single" w:sz="4" w:space="0" w:color="auto"/>
              <w:bottom w:val="single" w:sz="4" w:space="0" w:color="auto"/>
            </w:tcBorders>
            <w:shd w:val="clear" w:color="auto" w:fill="auto"/>
            <w:vAlign w:val="bottom"/>
          </w:tcPr>
          <w:p w14:paraId="71626B5C" w14:textId="77777777" w:rsidR="00EA185F" w:rsidRPr="007003B2" w:rsidRDefault="00EA185F" w:rsidP="00206464">
            <w:pPr>
              <w:spacing w:before="81" w:after="81" w:line="160" w:lineRule="exact"/>
              <w:ind w:left="144" w:right="40"/>
              <w:jc w:val="center"/>
              <w:rPr>
                <w:i/>
                <w:sz w:val="14"/>
                <w:lang w:val="en-GB"/>
              </w:rPr>
            </w:pPr>
            <w:r w:rsidRPr="007003B2">
              <w:rPr>
                <w:i/>
                <w:sz w:val="14"/>
                <w:lang w:val="en-GB"/>
              </w:rPr>
              <w:t>Changes</w:t>
            </w:r>
          </w:p>
        </w:tc>
        <w:tc>
          <w:tcPr>
            <w:tcW w:w="895" w:type="dxa"/>
            <w:vMerge w:val="restart"/>
            <w:tcBorders>
              <w:top w:val="single" w:sz="4" w:space="0" w:color="auto"/>
            </w:tcBorders>
            <w:shd w:val="clear" w:color="auto" w:fill="auto"/>
            <w:vAlign w:val="bottom"/>
          </w:tcPr>
          <w:p w14:paraId="67BD9285"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2022 estimate (before recosting)</w:t>
            </w:r>
          </w:p>
        </w:tc>
      </w:tr>
      <w:tr w:rsidR="00EA185F" w:rsidRPr="007003B2" w14:paraId="6385697A" w14:textId="77777777" w:rsidTr="00206464">
        <w:trPr>
          <w:tblHeader/>
        </w:trPr>
        <w:tc>
          <w:tcPr>
            <w:tcW w:w="2160" w:type="dxa"/>
            <w:tcBorders>
              <w:bottom w:val="single" w:sz="12" w:space="0" w:color="auto"/>
            </w:tcBorders>
            <w:shd w:val="clear" w:color="auto" w:fill="auto"/>
            <w:vAlign w:val="bottom"/>
          </w:tcPr>
          <w:p w14:paraId="2B780CC1" w14:textId="77777777" w:rsidR="00EA185F" w:rsidRPr="007003B2" w:rsidRDefault="00EA185F" w:rsidP="00206464">
            <w:pPr>
              <w:spacing w:before="81" w:after="81" w:line="160" w:lineRule="exact"/>
              <w:ind w:right="40"/>
              <w:rPr>
                <w:i/>
                <w:sz w:val="14"/>
                <w:lang w:val="en-GB"/>
              </w:rPr>
            </w:pPr>
          </w:p>
        </w:tc>
        <w:tc>
          <w:tcPr>
            <w:tcW w:w="1076" w:type="dxa"/>
            <w:tcBorders>
              <w:bottom w:val="single" w:sz="12" w:space="0" w:color="auto"/>
            </w:tcBorders>
            <w:shd w:val="clear" w:color="auto" w:fill="auto"/>
            <w:vAlign w:val="bottom"/>
          </w:tcPr>
          <w:p w14:paraId="378E1B0F"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2020 expenditure</w:t>
            </w:r>
          </w:p>
        </w:tc>
        <w:tc>
          <w:tcPr>
            <w:tcW w:w="1143" w:type="dxa"/>
            <w:tcBorders>
              <w:bottom w:val="single" w:sz="12" w:space="0" w:color="auto"/>
            </w:tcBorders>
            <w:shd w:val="clear" w:color="auto" w:fill="auto"/>
            <w:vAlign w:val="bottom"/>
          </w:tcPr>
          <w:p w14:paraId="61B0EB35"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2021 appropriation</w:t>
            </w:r>
          </w:p>
        </w:tc>
        <w:tc>
          <w:tcPr>
            <w:tcW w:w="1143" w:type="dxa"/>
            <w:tcBorders>
              <w:top w:val="single" w:sz="4" w:space="0" w:color="auto"/>
              <w:bottom w:val="single" w:sz="12" w:space="0" w:color="auto"/>
            </w:tcBorders>
            <w:shd w:val="clear" w:color="auto" w:fill="auto"/>
            <w:vAlign w:val="bottom"/>
          </w:tcPr>
          <w:p w14:paraId="5B3C4B82"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Technical adjustments</w:t>
            </w:r>
          </w:p>
        </w:tc>
        <w:tc>
          <w:tcPr>
            <w:tcW w:w="857" w:type="dxa"/>
            <w:tcBorders>
              <w:top w:val="single" w:sz="4" w:space="0" w:color="auto"/>
              <w:bottom w:val="single" w:sz="12" w:space="0" w:color="auto"/>
            </w:tcBorders>
            <w:shd w:val="clear" w:color="auto" w:fill="auto"/>
            <w:vAlign w:val="bottom"/>
          </w:tcPr>
          <w:p w14:paraId="3329B2B6"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New/ expanded mandates</w:t>
            </w:r>
          </w:p>
        </w:tc>
        <w:tc>
          <w:tcPr>
            <w:tcW w:w="857" w:type="dxa"/>
            <w:tcBorders>
              <w:top w:val="single" w:sz="4" w:space="0" w:color="auto"/>
              <w:bottom w:val="single" w:sz="12" w:space="0" w:color="auto"/>
            </w:tcBorders>
            <w:shd w:val="clear" w:color="auto" w:fill="auto"/>
            <w:vAlign w:val="bottom"/>
          </w:tcPr>
          <w:p w14:paraId="61B9CCF4"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Other</w:t>
            </w:r>
          </w:p>
        </w:tc>
        <w:tc>
          <w:tcPr>
            <w:tcW w:w="762" w:type="dxa"/>
            <w:tcBorders>
              <w:top w:val="single" w:sz="4" w:space="0" w:color="auto"/>
              <w:bottom w:val="single" w:sz="12" w:space="0" w:color="auto"/>
            </w:tcBorders>
            <w:shd w:val="clear" w:color="auto" w:fill="auto"/>
            <w:vAlign w:val="bottom"/>
          </w:tcPr>
          <w:p w14:paraId="2FF88881"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Total</w:t>
            </w:r>
          </w:p>
        </w:tc>
        <w:tc>
          <w:tcPr>
            <w:tcW w:w="953" w:type="dxa"/>
            <w:tcBorders>
              <w:top w:val="single" w:sz="4" w:space="0" w:color="auto"/>
              <w:bottom w:val="single" w:sz="12" w:space="0" w:color="auto"/>
            </w:tcBorders>
            <w:shd w:val="clear" w:color="auto" w:fill="auto"/>
            <w:vAlign w:val="bottom"/>
          </w:tcPr>
          <w:p w14:paraId="6C998ADC"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Percentage</w:t>
            </w:r>
          </w:p>
        </w:tc>
        <w:tc>
          <w:tcPr>
            <w:tcW w:w="895" w:type="dxa"/>
            <w:vMerge/>
            <w:tcBorders>
              <w:bottom w:val="single" w:sz="12" w:space="0" w:color="auto"/>
            </w:tcBorders>
            <w:shd w:val="clear" w:color="auto" w:fill="auto"/>
            <w:vAlign w:val="bottom"/>
          </w:tcPr>
          <w:p w14:paraId="59711D7F" w14:textId="77777777" w:rsidR="00EA185F" w:rsidRPr="007003B2" w:rsidRDefault="00EA185F" w:rsidP="00206464">
            <w:pPr>
              <w:spacing w:before="81" w:after="81" w:line="160" w:lineRule="exact"/>
              <w:ind w:left="144" w:right="40"/>
              <w:jc w:val="right"/>
              <w:rPr>
                <w:i/>
                <w:sz w:val="14"/>
                <w:lang w:val="en-GB"/>
              </w:rPr>
            </w:pPr>
          </w:p>
        </w:tc>
      </w:tr>
      <w:tr w:rsidR="00EA185F" w:rsidRPr="007003B2" w14:paraId="2A0BEB94" w14:textId="77777777" w:rsidTr="00206464">
        <w:trPr>
          <w:trHeight w:hRule="exact" w:val="115"/>
          <w:tblHeader/>
        </w:trPr>
        <w:tc>
          <w:tcPr>
            <w:tcW w:w="2160" w:type="dxa"/>
            <w:tcBorders>
              <w:top w:val="single" w:sz="12" w:space="0" w:color="auto"/>
            </w:tcBorders>
            <w:shd w:val="clear" w:color="auto" w:fill="auto"/>
            <w:vAlign w:val="bottom"/>
          </w:tcPr>
          <w:p w14:paraId="102C4D15" w14:textId="77777777" w:rsidR="00EA185F" w:rsidRPr="007003B2" w:rsidRDefault="00EA185F" w:rsidP="00206464">
            <w:pPr>
              <w:spacing w:before="40" w:after="40" w:line="210" w:lineRule="exact"/>
              <w:ind w:right="40"/>
              <w:rPr>
                <w:sz w:val="17"/>
                <w:lang w:val="en-GB"/>
              </w:rPr>
            </w:pPr>
          </w:p>
        </w:tc>
        <w:tc>
          <w:tcPr>
            <w:tcW w:w="1076" w:type="dxa"/>
            <w:tcBorders>
              <w:top w:val="single" w:sz="12" w:space="0" w:color="auto"/>
            </w:tcBorders>
            <w:shd w:val="clear" w:color="auto" w:fill="auto"/>
            <w:vAlign w:val="bottom"/>
          </w:tcPr>
          <w:p w14:paraId="0E95D75A" w14:textId="77777777" w:rsidR="00EA185F" w:rsidRPr="007003B2" w:rsidRDefault="00EA185F" w:rsidP="00206464">
            <w:pPr>
              <w:spacing w:before="40" w:after="40" w:line="210" w:lineRule="exact"/>
              <w:ind w:left="144" w:right="40"/>
              <w:jc w:val="right"/>
              <w:rPr>
                <w:sz w:val="17"/>
                <w:lang w:val="en-GB"/>
              </w:rPr>
            </w:pPr>
          </w:p>
        </w:tc>
        <w:tc>
          <w:tcPr>
            <w:tcW w:w="1143" w:type="dxa"/>
            <w:tcBorders>
              <w:top w:val="single" w:sz="12" w:space="0" w:color="auto"/>
            </w:tcBorders>
            <w:shd w:val="clear" w:color="auto" w:fill="auto"/>
            <w:vAlign w:val="bottom"/>
          </w:tcPr>
          <w:p w14:paraId="25735E6E" w14:textId="77777777" w:rsidR="00EA185F" w:rsidRPr="007003B2" w:rsidRDefault="00EA185F" w:rsidP="00206464">
            <w:pPr>
              <w:spacing w:before="40" w:after="40" w:line="210" w:lineRule="exact"/>
              <w:ind w:left="144" w:right="40"/>
              <w:jc w:val="right"/>
              <w:rPr>
                <w:sz w:val="17"/>
                <w:lang w:val="en-GB"/>
              </w:rPr>
            </w:pPr>
          </w:p>
        </w:tc>
        <w:tc>
          <w:tcPr>
            <w:tcW w:w="1143" w:type="dxa"/>
            <w:tcBorders>
              <w:top w:val="single" w:sz="12" w:space="0" w:color="auto"/>
            </w:tcBorders>
            <w:shd w:val="clear" w:color="auto" w:fill="auto"/>
            <w:vAlign w:val="bottom"/>
          </w:tcPr>
          <w:p w14:paraId="55FA676B" w14:textId="77777777" w:rsidR="00EA185F" w:rsidRPr="007003B2" w:rsidRDefault="00EA185F" w:rsidP="00206464">
            <w:pPr>
              <w:spacing w:before="40" w:after="40" w:line="210" w:lineRule="exact"/>
              <w:ind w:left="144" w:right="40"/>
              <w:jc w:val="right"/>
              <w:rPr>
                <w:sz w:val="17"/>
                <w:lang w:val="en-GB"/>
              </w:rPr>
            </w:pPr>
          </w:p>
        </w:tc>
        <w:tc>
          <w:tcPr>
            <w:tcW w:w="857" w:type="dxa"/>
            <w:tcBorders>
              <w:top w:val="single" w:sz="12" w:space="0" w:color="auto"/>
            </w:tcBorders>
            <w:shd w:val="clear" w:color="auto" w:fill="auto"/>
            <w:vAlign w:val="bottom"/>
          </w:tcPr>
          <w:p w14:paraId="025E5C53" w14:textId="77777777" w:rsidR="00EA185F" w:rsidRPr="007003B2" w:rsidRDefault="00EA185F" w:rsidP="00206464">
            <w:pPr>
              <w:spacing w:before="40" w:after="40" w:line="210" w:lineRule="exact"/>
              <w:ind w:left="144" w:right="40"/>
              <w:jc w:val="right"/>
              <w:rPr>
                <w:sz w:val="17"/>
                <w:lang w:val="en-GB"/>
              </w:rPr>
            </w:pPr>
          </w:p>
        </w:tc>
        <w:tc>
          <w:tcPr>
            <w:tcW w:w="857" w:type="dxa"/>
            <w:tcBorders>
              <w:top w:val="single" w:sz="12" w:space="0" w:color="auto"/>
            </w:tcBorders>
            <w:shd w:val="clear" w:color="auto" w:fill="auto"/>
            <w:vAlign w:val="bottom"/>
          </w:tcPr>
          <w:p w14:paraId="79089791" w14:textId="77777777" w:rsidR="00EA185F" w:rsidRPr="007003B2" w:rsidRDefault="00EA185F" w:rsidP="00206464">
            <w:pPr>
              <w:spacing w:before="40" w:after="40" w:line="210" w:lineRule="exact"/>
              <w:ind w:left="144" w:right="40"/>
              <w:jc w:val="right"/>
              <w:rPr>
                <w:sz w:val="17"/>
                <w:lang w:val="en-GB"/>
              </w:rPr>
            </w:pPr>
          </w:p>
        </w:tc>
        <w:tc>
          <w:tcPr>
            <w:tcW w:w="762" w:type="dxa"/>
            <w:tcBorders>
              <w:top w:val="single" w:sz="12" w:space="0" w:color="auto"/>
            </w:tcBorders>
            <w:shd w:val="clear" w:color="auto" w:fill="auto"/>
            <w:vAlign w:val="bottom"/>
          </w:tcPr>
          <w:p w14:paraId="59AB9774" w14:textId="77777777" w:rsidR="00EA185F" w:rsidRPr="007003B2" w:rsidRDefault="00EA185F" w:rsidP="00206464">
            <w:pPr>
              <w:spacing w:before="40" w:after="40" w:line="210" w:lineRule="exact"/>
              <w:ind w:left="144" w:right="40"/>
              <w:jc w:val="right"/>
              <w:rPr>
                <w:sz w:val="17"/>
                <w:lang w:val="en-GB"/>
              </w:rPr>
            </w:pPr>
          </w:p>
        </w:tc>
        <w:tc>
          <w:tcPr>
            <w:tcW w:w="953" w:type="dxa"/>
            <w:tcBorders>
              <w:top w:val="single" w:sz="12" w:space="0" w:color="auto"/>
            </w:tcBorders>
            <w:shd w:val="clear" w:color="auto" w:fill="auto"/>
            <w:vAlign w:val="bottom"/>
          </w:tcPr>
          <w:p w14:paraId="26DE1EC6" w14:textId="77777777" w:rsidR="00EA185F" w:rsidRPr="007003B2" w:rsidRDefault="00EA185F" w:rsidP="00206464">
            <w:pPr>
              <w:spacing w:before="40" w:after="40" w:line="210" w:lineRule="exact"/>
              <w:ind w:left="144" w:right="40"/>
              <w:jc w:val="right"/>
              <w:rPr>
                <w:sz w:val="17"/>
                <w:lang w:val="en-GB"/>
              </w:rPr>
            </w:pPr>
          </w:p>
        </w:tc>
        <w:tc>
          <w:tcPr>
            <w:tcW w:w="895" w:type="dxa"/>
            <w:tcBorders>
              <w:top w:val="single" w:sz="12" w:space="0" w:color="auto"/>
            </w:tcBorders>
            <w:shd w:val="clear" w:color="auto" w:fill="auto"/>
            <w:vAlign w:val="bottom"/>
          </w:tcPr>
          <w:p w14:paraId="324F5F68" w14:textId="77777777" w:rsidR="00EA185F" w:rsidRPr="007003B2" w:rsidRDefault="00EA185F" w:rsidP="00206464">
            <w:pPr>
              <w:spacing w:before="40" w:after="40" w:line="210" w:lineRule="exact"/>
              <w:ind w:left="144" w:right="40"/>
              <w:jc w:val="right"/>
              <w:rPr>
                <w:sz w:val="17"/>
                <w:lang w:val="en-GB"/>
              </w:rPr>
            </w:pPr>
          </w:p>
        </w:tc>
      </w:tr>
      <w:tr w:rsidR="00EA185F" w:rsidRPr="007003B2" w14:paraId="4D1B8CFE" w14:textId="77777777" w:rsidTr="00206464">
        <w:tc>
          <w:tcPr>
            <w:tcW w:w="9846" w:type="dxa"/>
            <w:gridSpan w:val="9"/>
            <w:shd w:val="clear" w:color="auto" w:fill="auto"/>
            <w:vAlign w:val="bottom"/>
          </w:tcPr>
          <w:p w14:paraId="26595B98" w14:textId="77777777" w:rsidR="00EA185F" w:rsidRPr="007003B2" w:rsidRDefault="00EA185F" w:rsidP="00206464">
            <w:pPr>
              <w:tabs>
                <w:tab w:val="left" w:pos="288"/>
                <w:tab w:val="left" w:pos="576"/>
                <w:tab w:val="left" w:pos="864"/>
                <w:tab w:val="left" w:pos="1152"/>
              </w:tabs>
              <w:spacing w:before="40" w:after="40" w:line="210" w:lineRule="exact"/>
              <w:ind w:right="40"/>
              <w:rPr>
                <w:b/>
                <w:bCs/>
                <w:sz w:val="17"/>
                <w:lang w:val="en-GB"/>
              </w:rPr>
            </w:pPr>
            <w:r w:rsidRPr="007003B2">
              <w:rPr>
                <w:b/>
                <w:bCs/>
                <w:sz w:val="17"/>
                <w:lang w:val="en-GB"/>
              </w:rPr>
              <w:t>Financial resources by main category of expenditure</w:t>
            </w:r>
          </w:p>
        </w:tc>
      </w:tr>
      <w:tr w:rsidR="00EA185F" w:rsidRPr="007003B2" w14:paraId="5D28E6FC" w14:textId="77777777" w:rsidTr="00206464">
        <w:tc>
          <w:tcPr>
            <w:tcW w:w="2160" w:type="dxa"/>
            <w:shd w:val="clear" w:color="auto" w:fill="auto"/>
            <w:vAlign w:val="bottom"/>
          </w:tcPr>
          <w:p w14:paraId="34FCBDA6" w14:textId="77777777" w:rsidR="00EA185F" w:rsidRPr="007003B2" w:rsidRDefault="00EA185F" w:rsidP="00206464">
            <w:pPr>
              <w:tabs>
                <w:tab w:val="left" w:pos="288"/>
                <w:tab w:val="left" w:pos="576"/>
                <w:tab w:val="left" w:pos="864"/>
                <w:tab w:val="left" w:pos="1152"/>
              </w:tabs>
              <w:spacing w:before="40" w:after="40" w:line="210" w:lineRule="exact"/>
              <w:ind w:right="40"/>
              <w:rPr>
                <w:sz w:val="17"/>
                <w:lang w:val="en-GB"/>
              </w:rPr>
            </w:pPr>
            <w:r w:rsidRPr="007003B2">
              <w:rPr>
                <w:sz w:val="17"/>
                <w:lang w:val="en-GB"/>
              </w:rPr>
              <w:t>Post</w:t>
            </w:r>
          </w:p>
        </w:tc>
        <w:tc>
          <w:tcPr>
            <w:tcW w:w="1076" w:type="dxa"/>
            <w:shd w:val="clear" w:color="auto" w:fill="auto"/>
            <w:vAlign w:val="bottom"/>
          </w:tcPr>
          <w:p w14:paraId="5F0446D2"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1 257.8</w:t>
            </w:r>
          </w:p>
        </w:tc>
        <w:tc>
          <w:tcPr>
            <w:tcW w:w="1143" w:type="dxa"/>
            <w:shd w:val="clear" w:color="auto" w:fill="auto"/>
            <w:vAlign w:val="bottom"/>
          </w:tcPr>
          <w:p w14:paraId="421DC500"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1 102.9</w:t>
            </w:r>
          </w:p>
        </w:tc>
        <w:tc>
          <w:tcPr>
            <w:tcW w:w="1143" w:type="dxa"/>
            <w:shd w:val="clear" w:color="auto" w:fill="auto"/>
            <w:vAlign w:val="bottom"/>
          </w:tcPr>
          <w:p w14:paraId="0B1B5B42"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857" w:type="dxa"/>
            <w:shd w:val="clear" w:color="auto" w:fill="auto"/>
            <w:vAlign w:val="bottom"/>
          </w:tcPr>
          <w:p w14:paraId="3388A6AE"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857" w:type="dxa"/>
            <w:shd w:val="clear" w:color="auto" w:fill="auto"/>
            <w:vAlign w:val="bottom"/>
          </w:tcPr>
          <w:p w14:paraId="1C6F216D"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762" w:type="dxa"/>
            <w:shd w:val="clear" w:color="auto" w:fill="auto"/>
            <w:vAlign w:val="bottom"/>
          </w:tcPr>
          <w:p w14:paraId="6E621F9F"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53" w:type="dxa"/>
            <w:shd w:val="clear" w:color="auto" w:fill="auto"/>
            <w:vAlign w:val="bottom"/>
          </w:tcPr>
          <w:p w14:paraId="45640C79"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895" w:type="dxa"/>
            <w:shd w:val="clear" w:color="auto" w:fill="auto"/>
            <w:vAlign w:val="bottom"/>
          </w:tcPr>
          <w:p w14:paraId="2A3F6596"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 xml:space="preserve">1 102.9 </w:t>
            </w:r>
          </w:p>
        </w:tc>
      </w:tr>
      <w:tr w:rsidR="00EA185F" w:rsidRPr="007003B2" w14:paraId="5F730963" w14:textId="77777777" w:rsidTr="00206464">
        <w:tc>
          <w:tcPr>
            <w:tcW w:w="2160" w:type="dxa"/>
            <w:tcBorders>
              <w:bottom w:val="single" w:sz="4" w:space="0" w:color="auto"/>
            </w:tcBorders>
            <w:shd w:val="clear" w:color="auto" w:fill="auto"/>
            <w:vAlign w:val="bottom"/>
          </w:tcPr>
          <w:p w14:paraId="053233EE" w14:textId="77777777" w:rsidR="00EA185F" w:rsidRPr="007003B2" w:rsidRDefault="00EA185F" w:rsidP="00206464">
            <w:pPr>
              <w:tabs>
                <w:tab w:val="left" w:pos="288"/>
                <w:tab w:val="left" w:pos="576"/>
                <w:tab w:val="left" w:pos="864"/>
                <w:tab w:val="left" w:pos="1152"/>
              </w:tabs>
              <w:spacing w:before="40" w:after="81" w:line="210" w:lineRule="exact"/>
              <w:ind w:right="40"/>
              <w:rPr>
                <w:sz w:val="17"/>
                <w:lang w:val="en-GB"/>
              </w:rPr>
            </w:pPr>
            <w:r w:rsidRPr="007003B2">
              <w:rPr>
                <w:sz w:val="17"/>
                <w:lang w:val="en-GB"/>
              </w:rPr>
              <w:t>Non-post</w:t>
            </w:r>
          </w:p>
        </w:tc>
        <w:tc>
          <w:tcPr>
            <w:tcW w:w="1076" w:type="dxa"/>
            <w:tcBorders>
              <w:bottom w:val="single" w:sz="4" w:space="0" w:color="auto"/>
            </w:tcBorders>
            <w:shd w:val="clear" w:color="auto" w:fill="auto"/>
            <w:vAlign w:val="bottom"/>
          </w:tcPr>
          <w:p w14:paraId="71FEF7E4"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134.8</w:t>
            </w:r>
          </w:p>
        </w:tc>
        <w:tc>
          <w:tcPr>
            <w:tcW w:w="1143" w:type="dxa"/>
            <w:tcBorders>
              <w:bottom w:val="single" w:sz="4" w:space="0" w:color="auto"/>
            </w:tcBorders>
            <w:shd w:val="clear" w:color="auto" w:fill="auto"/>
            <w:vAlign w:val="bottom"/>
          </w:tcPr>
          <w:p w14:paraId="5D78DC23"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19.1</w:t>
            </w:r>
          </w:p>
        </w:tc>
        <w:tc>
          <w:tcPr>
            <w:tcW w:w="1143" w:type="dxa"/>
            <w:tcBorders>
              <w:bottom w:val="single" w:sz="4" w:space="0" w:color="auto"/>
            </w:tcBorders>
            <w:shd w:val="clear" w:color="auto" w:fill="auto"/>
            <w:vAlign w:val="bottom"/>
          </w:tcPr>
          <w:p w14:paraId="00A223BA"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57" w:type="dxa"/>
            <w:tcBorders>
              <w:bottom w:val="single" w:sz="4" w:space="0" w:color="auto"/>
            </w:tcBorders>
            <w:shd w:val="clear" w:color="auto" w:fill="auto"/>
            <w:vAlign w:val="bottom"/>
          </w:tcPr>
          <w:p w14:paraId="67415775"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57" w:type="dxa"/>
            <w:tcBorders>
              <w:bottom w:val="single" w:sz="4" w:space="0" w:color="auto"/>
            </w:tcBorders>
            <w:shd w:val="clear" w:color="auto" w:fill="auto"/>
            <w:vAlign w:val="bottom"/>
          </w:tcPr>
          <w:p w14:paraId="50C508E2"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762" w:type="dxa"/>
            <w:tcBorders>
              <w:bottom w:val="single" w:sz="4" w:space="0" w:color="auto"/>
            </w:tcBorders>
            <w:shd w:val="clear" w:color="auto" w:fill="auto"/>
            <w:vAlign w:val="bottom"/>
          </w:tcPr>
          <w:p w14:paraId="31F2A231"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53" w:type="dxa"/>
            <w:tcBorders>
              <w:bottom w:val="single" w:sz="4" w:space="0" w:color="auto"/>
            </w:tcBorders>
            <w:shd w:val="clear" w:color="auto" w:fill="auto"/>
            <w:vAlign w:val="bottom"/>
          </w:tcPr>
          <w:p w14:paraId="4444EE58"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95" w:type="dxa"/>
            <w:tcBorders>
              <w:bottom w:val="single" w:sz="4" w:space="0" w:color="auto"/>
            </w:tcBorders>
            <w:shd w:val="clear" w:color="auto" w:fill="auto"/>
            <w:vAlign w:val="bottom"/>
          </w:tcPr>
          <w:p w14:paraId="237876D2"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 xml:space="preserve">19.1 </w:t>
            </w:r>
          </w:p>
        </w:tc>
      </w:tr>
      <w:tr w:rsidR="00EA185F" w:rsidRPr="007003B2" w14:paraId="597C5AF0" w14:textId="77777777" w:rsidTr="00206464">
        <w:tc>
          <w:tcPr>
            <w:tcW w:w="2160" w:type="dxa"/>
            <w:tcBorders>
              <w:top w:val="single" w:sz="4" w:space="0" w:color="auto"/>
              <w:bottom w:val="single" w:sz="4" w:space="0" w:color="auto"/>
            </w:tcBorders>
            <w:shd w:val="clear" w:color="auto" w:fill="auto"/>
            <w:vAlign w:val="bottom"/>
          </w:tcPr>
          <w:p w14:paraId="5B3C1685" w14:textId="77777777" w:rsidR="00EA185F" w:rsidRPr="007003B2" w:rsidRDefault="00EA185F" w:rsidP="00206464">
            <w:pPr>
              <w:tabs>
                <w:tab w:val="left" w:pos="288"/>
                <w:tab w:val="left" w:pos="576"/>
                <w:tab w:val="left" w:pos="864"/>
                <w:tab w:val="left" w:pos="1152"/>
              </w:tabs>
              <w:spacing w:before="81" w:after="81" w:line="210" w:lineRule="exact"/>
              <w:ind w:left="288" w:right="40"/>
              <w:rPr>
                <w:b/>
                <w:sz w:val="17"/>
                <w:lang w:val="en-GB"/>
              </w:rPr>
            </w:pPr>
            <w:r w:rsidRPr="007003B2">
              <w:rPr>
                <w:b/>
                <w:sz w:val="17"/>
                <w:lang w:val="en-GB"/>
              </w:rPr>
              <w:t>Total</w:t>
            </w:r>
          </w:p>
        </w:tc>
        <w:tc>
          <w:tcPr>
            <w:tcW w:w="1076" w:type="dxa"/>
            <w:tcBorders>
              <w:top w:val="single" w:sz="4" w:space="0" w:color="auto"/>
              <w:bottom w:val="single" w:sz="4" w:space="0" w:color="auto"/>
            </w:tcBorders>
            <w:shd w:val="clear" w:color="auto" w:fill="auto"/>
            <w:vAlign w:val="bottom"/>
          </w:tcPr>
          <w:p w14:paraId="2B38DA50"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1 392.6</w:t>
            </w:r>
          </w:p>
        </w:tc>
        <w:tc>
          <w:tcPr>
            <w:tcW w:w="1143" w:type="dxa"/>
            <w:tcBorders>
              <w:top w:val="single" w:sz="4" w:space="0" w:color="auto"/>
              <w:bottom w:val="single" w:sz="4" w:space="0" w:color="auto"/>
            </w:tcBorders>
            <w:shd w:val="clear" w:color="auto" w:fill="auto"/>
            <w:vAlign w:val="bottom"/>
          </w:tcPr>
          <w:p w14:paraId="3F1BFB6A"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1 122.0</w:t>
            </w:r>
          </w:p>
        </w:tc>
        <w:tc>
          <w:tcPr>
            <w:tcW w:w="1143" w:type="dxa"/>
            <w:tcBorders>
              <w:top w:val="single" w:sz="4" w:space="0" w:color="auto"/>
              <w:bottom w:val="single" w:sz="4" w:space="0" w:color="auto"/>
            </w:tcBorders>
            <w:shd w:val="clear" w:color="auto" w:fill="auto"/>
            <w:vAlign w:val="bottom"/>
          </w:tcPr>
          <w:p w14:paraId="2F88EEDF"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857" w:type="dxa"/>
            <w:tcBorders>
              <w:top w:val="single" w:sz="4" w:space="0" w:color="auto"/>
              <w:bottom w:val="single" w:sz="4" w:space="0" w:color="auto"/>
            </w:tcBorders>
            <w:shd w:val="clear" w:color="auto" w:fill="auto"/>
            <w:vAlign w:val="bottom"/>
          </w:tcPr>
          <w:p w14:paraId="3340A0ED"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857" w:type="dxa"/>
            <w:tcBorders>
              <w:top w:val="single" w:sz="4" w:space="0" w:color="auto"/>
              <w:bottom w:val="single" w:sz="4" w:space="0" w:color="auto"/>
            </w:tcBorders>
            <w:shd w:val="clear" w:color="auto" w:fill="auto"/>
            <w:vAlign w:val="bottom"/>
          </w:tcPr>
          <w:p w14:paraId="516A7B9D"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762" w:type="dxa"/>
            <w:tcBorders>
              <w:top w:val="single" w:sz="4" w:space="0" w:color="auto"/>
              <w:bottom w:val="single" w:sz="4" w:space="0" w:color="auto"/>
            </w:tcBorders>
            <w:shd w:val="clear" w:color="auto" w:fill="auto"/>
            <w:vAlign w:val="bottom"/>
          </w:tcPr>
          <w:p w14:paraId="7D1515DD"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953" w:type="dxa"/>
            <w:tcBorders>
              <w:top w:val="single" w:sz="4" w:space="0" w:color="auto"/>
              <w:bottom w:val="single" w:sz="4" w:space="0" w:color="auto"/>
            </w:tcBorders>
            <w:shd w:val="clear" w:color="auto" w:fill="auto"/>
            <w:vAlign w:val="bottom"/>
          </w:tcPr>
          <w:p w14:paraId="2CF4CBB4"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895" w:type="dxa"/>
            <w:tcBorders>
              <w:top w:val="single" w:sz="4" w:space="0" w:color="auto"/>
              <w:bottom w:val="single" w:sz="4" w:space="0" w:color="auto"/>
            </w:tcBorders>
            <w:shd w:val="clear" w:color="auto" w:fill="auto"/>
            <w:vAlign w:val="bottom"/>
          </w:tcPr>
          <w:p w14:paraId="46377B27"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 xml:space="preserve">1 122.0 </w:t>
            </w:r>
          </w:p>
        </w:tc>
      </w:tr>
      <w:tr w:rsidR="00EA185F" w:rsidRPr="007003B2" w14:paraId="259013D6" w14:textId="77777777" w:rsidTr="00206464">
        <w:tc>
          <w:tcPr>
            <w:tcW w:w="2160" w:type="dxa"/>
            <w:tcBorders>
              <w:top w:val="single" w:sz="4" w:space="0" w:color="auto"/>
            </w:tcBorders>
            <w:shd w:val="clear" w:color="auto" w:fill="auto"/>
            <w:vAlign w:val="bottom"/>
          </w:tcPr>
          <w:p w14:paraId="12B985E0" w14:textId="77777777" w:rsidR="00EA185F" w:rsidRPr="007003B2" w:rsidRDefault="00EA185F" w:rsidP="00206464">
            <w:pPr>
              <w:tabs>
                <w:tab w:val="left" w:pos="288"/>
                <w:tab w:val="left" w:pos="576"/>
                <w:tab w:val="left" w:pos="864"/>
                <w:tab w:val="left" w:pos="1152"/>
              </w:tabs>
              <w:spacing w:before="81" w:after="40" w:line="210" w:lineRule="exact"/>
              <w:ind w:right="40"/>
              <w:rPr>
                <w:b/>
                <w:bCs/>
                <w:sz w:val="17"/>
                <w:lang w:val="en-GB"/>
              </w:rPr>
            </w:pPr>
            <w:r w:rsidRPr="007003B2">
              <w:rPr>
                <w:b/>
                <w:bCs/>
                <w:sz w:val="17"/>
                <w:lang w:val="en-GB"/>
              </w:rPr>
              <w:t>Post resources by category</w:t>
            </w:r>
          </w:p>
        </w:tc>
        <w:tc>
          <w:tcPr>
            <w:tcW w:w="1076" w:type="dxa"/>
            <w:tcBorders>
              <w:top w:val="single" w:sz="4" w:space="0" w:color="auto"/>
            </w:tcBorders>
            <w:shd w:val="clear" w:color="auto" w:fill="auto"/>
            <w:vAlign w:val="bottom"/>
          </w:tcPr>
          <w:p w14:paraId="7251B04C" w14:textId="77777777" w:rsidR="00EA185F" w:rsidRPr="007003B2" w:rsidRDefault="00EA185F" w:rsidP="00206464">
            <w:pPr>
              <w:tabs>
                <w:tab w:val="left" w:pos="288"/>
                <w:tab w:val="left" w:pos="576"/>
                <w:tab w:val="left" w:pos="864"/>
                <w:tab w:val="left" w:pos="1152"/>
              </w:tabs>
              <w:spacing w:before="81" w:after="40" w:line="210" w:lineRule="exact"/>
              <w:ind w:left="144" w:right="40"/>
              <w:jc w:val="right"/>
              <w:rPr>
                <w:sz w:val="17"/>
                <w:lang w:val="en-GB"/>
              </w:rPr>
            </w:pPr>
          </w:p>
        </w:tc>
        <w:tc>
          <w:tcPr>
            <w:tcW w:w="1143" w:type="dxa"/>
            <w:tcBorders>
              <w:top w:val="single" w:sz="4" w:space="0" w:color="auto"/>
            </w:tcBorders>
            <w:shd w:val="clear" w:color="auto" w:fill="auto"/>
            <w:vAlign w:val="bottom"/>
          </w:tcPr>
          <w:p w14:paraId="42E55037" w14:textId="77777777" w:rsidR="00EA185F" w:rsidRPr="007003B2" w:rsidRDefault="00EA185F" w:rsidP="00206464">
            <w:pPr>
              <w:tabs>
                <w:tab w:val="left" w:pos="288"/>
                <w:tab w:val="left" w:pos="576"/>
                <w:tab w:val="left" w:pos="864"/>
                <w:tab w:val="left" w:pos="1152"/>
              </w:tabs>
              <w:spacing w:before="81" w:after="40" w:line="210" w:lineRule="exact"/>
              <w:ind w:left="144" w:right="40"/>
              <w:jc w:val="right"/>
              <w:rPr>
                <w:sz w:val="17"/>
                <w:lang w:val="en-GB"/>
              </w:rPr>
            </w:pPr>
          </w:p>
        </w:tc>
        <w:tc>
          <w:tcPr>
            <w:tcW w:w="1143" w:type="dxa"/>
            <w:tcBorders>
              <w:top w:val="single" w:sz="4" w:space="0" w:color="auto"/>
            </w:tcBorders>
            <w:shd w:val="clear" w:color="auto" w:fill="auto"/>
            <w:vAlign w:val="bottom"/>
          </w:tcPr>
          <w:p w14:paraId="72432A84" w14:textId="77777777" w:rsidR="00EA185F" w:rsidRPr="007003B2" w:rsidRDefault="00EA185F" w:rsidP="00206464">
            <w:pPr>
              <w:tabs>
                <w:tab w:val="left" w:pos="288"/>
                <w:tab w:val="left" w:pos="576"/>
                <w:tab w:val="left" w:pos="864"/>
                <w:tab w:val="left" w:pos="1152"/>
              </w:tabs>
              <w:spacing w:before="81" w:after="40" w:line="210" w:lineRule="exact"/>
              <w:ind w:left="144" w:right="40"/>
              <w:jc w:val="right"/>
              <w:rPr>
                <w:sz w:val="17"/>
                <w:lang w:val="en-GB"/>
              </w:rPr>
            </w:pPr>
          </w:p>
        </w:tc>
        <w:tc>
          <w:tcPr>
            <w:tcW w:w="857" w:type="dxa"/>
            <w:tcBorders>
              <w:top w:val="single" w:sz="4" w:space="0" w:color="auto"/>
            </w:tcBorders>
            <w:shd w:val="clear" w:color="auto" w:fill="auto"/>
            <w:vAlign w:val="bottom"/>
          </w:tcPr>
          <w:p w14:paraId="15C2F04F" w14:textId="77777777" w:rsidR="00EA185F" w:rsidRPr="007003B2" w:rsidRDefault="00EA185F" w:rsidP="00206464">
            <w:pPr>
              <w:tabs>
                <w:tab w:val="left" w:pos="288"/>
                <w:tab w:val="left" w:pos="576"/>
                <w:tab w:val="left" w:pos="864"/>
                <w:tab w:val="left" w:pos="1152"/>
              </w:tabs>
              <w:spacing w:before="81" w:after="40" w:line="210" w:lineRule="exact"/>
              <w:ind w:left="144" w:right="40"/>
              <w:jc w:val="right"/>
              <w:rPr>
                <w:sz w:val="17"/>
                <w:lang w:val="en-GB"/>
              </w:rPr>
            </w:pPr>
          </w:p>
        </w:tc>
        <w:tc>
          <w:tcPr>
            <w:tcW w:w="857" w:type="dxa"/>
            <w:tcBorders>
              <w:top w:val="single" w:sz="4" w:space="0" w:color="auto"/>
            </w:tcBorders>
            <w:shd w:val="clear" w:color="auto" w:fill="auto"/>
            <w:vAlign w:val="bottom"/>
          </w:tcPr>
          <w:p w14:paraId="7289BEF8" w14:textId="77777777" w:rsidR="00EA185F" w:rsidRPr="007003B2" w:rsidRDefault="00EA185F" w:rsidP="00206464">
            <w:pPr>
              <w:tabs>
                <w:tab w:val="left" w:pos="288"/>
                <w:tab w:val="left" w:pos="576"/>
                <w:tab w:val="left" w:pos="864"/>
                <w:tab w:val="left" w:pos="1152"/>
              </w:tabs>
              <w:spacing w:before="81" w:after="40" w:line="210" w:lineRule="exact"/>
              <w:ind w:left="144" w:right="40"/>
              <w:jc w:val="right"/>
              <w:rPr>
                <w:sz w:val="17"/>
                <w:lang w:val="en-GB"/>
              </w:rPr>
            </w:pPr>
          </w:p>
        </w:tc>
        <w:tc>
          <w:tcPr>
            <w:tcW w:w="762" w:type="dxa"/>
            <w:tcBorders>
              <w:top w:val="single" w:sz="4" w:space="0" w:color="auto"/>
            </w:tcBorders>
            <w:shd w:val="clear" w:color="auto" w:fill="auto"/>
            <w:vAlign w:val="bottom"/>
          </w:tcPr>
          <w:p w14:paraId="297019BF" w14:textId="77777777" w:rsidR="00EA185F" w:rsidRPr="007003B2" w:rsidRDefault="00EA185F" w:rsidP="00206464">
            <w:pPr>
              <w:tabs>
                <w:tab w:val="left" w:pos="288"/>
                <w:tab w:val="left" w:pos="576"/>
                <w:tab w:val="left" w:pos="864"/>
                <w:tab w:val="left" w:pos="1152"/>
              </w:tabs>
              <w:spacing w:before="81" w:after="40" w:line="210" w:lineRule="exact"/>
              <w:ind w:left="144" w:right="40"/>
              <w:jc w:val="right"/>
              <w:rPr>
                <w:sz w:val="17"/>
                <w:lang w:val="en-GB"/>
              </w:rPr>
            </w:pPr>
          </w:p>
        </w:tc>
        <w:tc>
          <w:tcPr>
            <w:tcW w:w="953" w:type="dxa"/>
            <w:tcBorders>
              <w:top w:val="single" w:sz="4" w:space="0" w:color="auto"/>
            </w:tcBorders>
            <w:shd w:val="clear" w:color="auto" w:fill="auto"/>
            <w:vAlign w:val="bottom"/>
          </w:tcPr>
          <w:p w14:paraId="4C986C5C" w14:textId="77777777" w:rsidR="00EA185F" w:rsidRPr="007003B2" w:rsidRDefault="00EA185F" w:rsidP="00206464">
            <w:pPr>
              <w:tabs>
                <w:tab w:val="left" w:pos="288"/>
                <w:tab w:val="left" w:pos="576"/>
                <w:tab w:val="left" w:pos="864"/>
                <w:tab w:val="left" w:pos="1152"/>
              </w:tabs>
              <w:spacing w:before="81" w:after="40" w:line="210" w:lineRule="exact"/>
              <w:ind w:left="144" w:right="40"/>
              <w:jc w:val="right"/>
              <w:rPr>
                <w:sz w:val="17"/>
                <w:lang w:val="en-GB"/>
              </w:rPr>
            </w:pPr>
          </w:p>
        </w:tc>
        <w:tc>
          <w:tcPr>
            <w:tcW w:w="895" w:type="dxa"/>
            <w:tcBorders>
              <w:top w:val="single" w:sz="4" w:space="0" w:color="auto"/>
            </w:tcBorders>
            <w:shd w:val="clear" w:color="auto" w:fill="auto"/>
            <w:vAlign w:val="bottom"/>
          </w:tcPr>
          <w:p w14:paraId="0E81D333" w14:textId="77777777" w:rsidR="00EA185F" w:rsidRPr="007003B2" w:rsidRDefault="00EA185F" w:rsidP="00206464">
            <w:pPr>
              <w:tabs>
                <w:tab w:val="left" w:pos="288"/>
                <w:tab w:val="left" w:pos="576"/>
                <w:tab w:val="left" w:pos="864"/>
                <w:tab w:val="left" w:pos="1152"/>
              </w:tabs>
              <w:spacing w:before="81" w:after="40" w:line="210" w:lineRule="exact"/>
              <w:ind w:left="144" w:right="40"/>
              <w:jc w:val="right"/>
              <w:rPr>
                <w:sz w:val="17"/>
                <w:lang w:val="en-GB"/>
              </w:rPr>
            </w:pPr>
          </w:p>
        </w:tc>
      </w:tr>
      <w:tr w:rsidR="00EA185F" w:rsidRPr="007003B2" w14:paraId="251B7CF5" w14:textId="77777777" w:rsidTr="00206464">
        <w:tc>
          <w:tcPr>
            <w:tcW w:w="2160" w:type="dxa"/>
            <w:shd w:val="clear" w:color="auto" w:fill="auto"/>
            <w:vAlign w:val="bottom"/>
          </w:tcPr>
          <w:p w14:paraId="2355B716" w14:textId="77777777" w:rsidR="00EA185F" w:rsidRPr="007003B2" w:rsidRDefault="00EA185F" w:rsidP="00206464">
            <w:pPr>
              <w:tabs>
                <w:tab w:val="left" w:pos="288"/>
                <w:tab w:val="left" w:pos="576"/>
                <w:tab w:val="left" w:pos="864"/>
                <w:tab w:val="left" w:pos="1152"/>
              </w:tabs>
              <w:spacing w:before="40" w:after="40" w:line="210" w:lineRule="exact"/>
              <w:ind w:right="40"/>
              <w:rPr>
                <w:sz w:val="17"/>
                <w:lang w:val="en-GB"/>
              </w:rPr>
            </w:pPr>
            <w:r w:rsidRPr="007003B2">
              <w:rPr>
                <w:sz w:val="17"/>
                <w:lang w:val="en-GB"/>
              </w:rPr>
              <w:t>Professional and higher</w:t>
            </w:r>
          </w:p>
        </w:tc>
        <w:tc>
          <w:tcPr>
            <w:tcW w:w="1076" w:type="dxa"/>
            <w:shd w:val="clear" w:color="auto" w:fill="auto"/>
            <w:vAlign w:val="bottom"/>
          </w:tcPr>
          <w:p w14:paraId="2A5D7F44"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p>
        </w:tc>
        <w:tc>
          <w:tcPr>
            <w:tcW w:w="1143" w:type="dxa"/>
            <w:shd w:val="clear" w:color="auto" w:fill="auto"/>
            <w:vAlign w:val="bottom"/>
          </w:tcPr>
          <w:p w14:paraId="5FE816FD"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5</w:t>
            </w:r>
          </w:p>
        </w:tc>
        <w:tc>
          <w:tcPr>
            <w:tcW w:w="1143" w:type="dxa"/>
            <w:shd w:val="clear" w:color="auto" w:fill="auto"/>
            <w:vAlign w:val="bottom"/>
          </w:tcPr>
          <w:p w14:paraId="65C6C618"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857" w:type="dxa"/>
            <w:shd w:val="clear" w:color="auto" w:fill="auto"/>
            <w:vAlign w:val="bottom"/>
          </w:tcPr>
          <w:p w14:paraId="15AA6CED"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857" w:type="dxa"/>
            <w:shd w:val="clear" w:color="auto" w:fill="auto"/>
            <w:vAlign w:val="bottom"/>
          </w:tcPr>
          <w:p w14:paraId="46216A48"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762" w:type="dxa"/>
            <w:shd w:val="clear" w:color="auto" w:fill="auto"/>
            <w:vAlign w:val="bottom"/>
          </w:tcPr>
          <w:p w14:paraId="0AF7301D"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953" w:type="dxa"/>
            <w:shd w:val="clear" w:color="auto" w:fill="auto"/>
            <w:vAlign w:val="bottom"/>
          </w:tcPr>
          <w:p w14:paraId="47FD87D9"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w:t>
            </w:r>
          </w:p>
        </w:tc>
        <w:tc>
          <w:tcPr>
            <w:tcW w:w="895" w:type="dxa"/>
            <w:shd w:val="clear" w:color="auto" w:fill="auto"/>
            <w:vAlign w:val="bottom"/>
          </w:tcPr>
          <w:p w14:paraId="64517C54" w14:textId="77777777" w:rsidR="00EA185F" w:rsidRPr="007003B2" w:rsidRDefault="00EA185F" w:rsidP="00206464">
            <w:pPr>
              <w:tabs>
                <w:tab w:val="left" w:pos="288"/>
                <w:tab w:val="left" w:pos="576"/>
                <w:tab w:val="left" w:pos="864"/>
                <w:tab w:val="left" w:pos="1152"/>
              </w:tabs>
              <w:spacing w:before="40" w:after="40" w:line="210" w:lineRule="exact"/>
              <w:ind w:left="144" w:right="40"/>
              <w:jc w:val="right"/>
              <w:rPr>
                <w:sz w:val="17"/>
                <w:lang w:val="en-GB"/>
              </w:rPr>
            </w:pPr>
            <w:r w:rsidRPr="007003B2">
              <w:rPr>
                <w:sz w:val="17"/>
                <w:lang w:val="en-GB"/>
              </w:rPr>
              <w:t xml:space="preserve">5 </w:t>
            </w:r>
          </w:p>
        </w:tc>
      </w:tr>
      <w:tr w:rsidR="00EA185F" w:rsidRPr="007003B2" w14:paraId="55DB03D1" w14:textId="77777777" w:rsidTr="00206464">
        <w:tc>
          <w:tcPr>
            <w:tcW w:w="2160" w:type="dxa"/>
            <w:tcBorders>
              <w:bottom w:val="single" w:sz="4" w:space="0" w:color="auto"/>
            </w:tcBorders>
            <w:shd w:val="clear" w:color="auto" w:fill="auto"/>
            <w:vAlign w:val="bottom"/>
          </w:tcPr>
          <w:p w14:paraId="2A957FB3" w14:textId="77777777" w:rsidR="00EA185F" w:rsidRPr="007003B2" w:rsidRDefault="00EA185F" w:rsidP="00206464">
            <w:pPr>
              <w:tabs>
                <w:tab w:val="left" w:pos="288"/>
                <w:tab w:val="left" w:pos="576"/>
                <w:tab w:val="left" w:pos="864"/>
                <w:tab w:val="left" w:pos="1152"/>
              </w:tabs>
              <w:spacing w:before="40" w:after="81" w:line="210" w:lineRule="exact"/>
              <w:ind w:right="40"/>
              <w:rPr>
                <w:sz w:val="17"/>
                <w:lang w:val="en-GB"/>
              </w:rPr>
            </w:pPr>
            <w:r w:rsidRPr="007003B2">
              <w:rPr>
                <w:sz w:val="17"/>
                <w:lang w:val="en-GB"/>
              </w:rPr>
              <w:t>General Service and related</w:t>
            </w:r>
          </w:p>
        </w:tc>
        <w:tc>
          <w:tcPr>
            <w:tcW w:w="1076" w:type="dxa"/>
            <w:tcBorders>
              <w:bottom w:val="single" w:sz="4" w:space="0" w:color="auto"/>
            </w:tcBorders>
            <w:shd w:val="clear" w:color="auto" w:fill="auto"/>
            <w:vAlign w:val="bottom"/>
          </w:tcPr>
          <w:p w14:paraId="4450AE73"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p>
        </w:tc>
        <w:tc>
          <w:tcPr>
            <w:tcW w:w="1143" w:type="dxa"/>
            <w:tcBorders>
              <w:bottom w:val="single" w:sz="4" w:space="0" w:color="auto"/>
            </w:tcBorders>
            <w:shd w:val="clear" w:color="auto" w:fill="auto"/>
            <w:vAlign w:val="bottom"/>
          </w:tcPr>
          <w:p w14:paraId="664142FF"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2</w:t>
            </w:r>
          </w:p>
        </w:tc>
        <w:tc>
          <w:tcPr>
            <w:tcW w:w="1143" w:type="dxa"/>
            <w:tcBorders>
              <w:bottom w:val="single" w:sz="4" w:space="0" w:color="auto"/>
            </w:tcBorders>
            <w:shd w:val="clear" w:color="auto" w:fill="auto"/>
            <w:vAlign w:val="bottom"/>
          </w:tcPr>
          <w:p w14:paraId="70B42CF1"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57" w:type="dxa"/>
            <w:tcBorders>
              <w:bottom w:val="single" w:sz="4" w:space="0" w:color="auto"/>
            </w:tcBorders>
            <w:shd w:val="clear" w:color="auto" w:fill="auto"/>
            <w:vAlign w:val="bottom"/>
          </w:tcPr>
          <w:p w14:paraId="4B2D0080"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57" w:type="dxa"/>
            <w:tcBorders>
              <w:bottom w:val="single" w:sz="4" w:space="0" w:color="auto"/>
            </w:tcBorders>
            <w:shd w:val="clear" w:color="auto" w:fill="auto"/>
            <w:vAlign w:val="bottom"/>
          </w:tcPr>
          <w:p w14:paraId="18791E85"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762" w:type="dxa"/>
            <w:tcBorders>
              <w:bottom w:val="single" w:sz="4" w:space="0" w:color="auto"/>
            </w:tcBorders>
            <w:shd w:val="clear" w:color="auto" w:fill="auto"/>
            <w:vAlign w:val="bottom"/>
          </w:tcPr>
          <w:p w14:paraId="79949CFE"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953" w:type="dxa"/>
            <w:tcBorders>
              <w:bottom w:val="single" w:sz="4" w:space="0" w:color="auto"/>
            </w:tcBorders>
            <w:shd w:val="clear" w:color="auto" w:fill="auto"/>
            <w:vAlign w:val="bottom"/>
          </w:tcPr>
          <w:p w14:paraId="5557C3D1"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w:t>
            </w:r>
          </w:p>
        </w:tc>
        <w:tc>
          <w:tcPr>
            <w:tcW w:w="895" w:type="dxa"/>
            <w:tcBorders>
              <w:bottom w:val="single" w:sz="4" w:space="0" w:color="auto"/>
            </w:tcBorders>
            <w:shd w:val="clear" w:color="auto" w:fill="auto"/>
            <w:vAlign w:val="bottom"/>
          </w:tcPr>
          <w:p w14:paraId="23001965" w14:textId="77777777" w:rsidR="00EA185F" w:rsidRPr="007003B2" w:rsidRDefault="00EA185F" w:rsidP="00206464">
            <w:pPr>
              <w:tabs>
                <w:tab w:val="left" w:pos="288"/>
                <w:tab w:val="left" w:pos="576"/>
                <w:tab w:val="left" w:pos="864"/>
                <w:tab w:val="left" w:pos="1152"/>
              </w:tabs>
              <w:spacing w:before="40" w:after="81" w:line="210" w:lineRule="exact"/>
              <w:ind w:left="144" w:right="40"/>
              <w:jc w:val="right"/>
              <w:rPr>
                <w:sz w:val="17"/>
                <w:lang w:val="en-GB"/>
              </w:rPr>
            </w:pPr>
            <w:r w:rsidRPr="007003B2">
              <w:rPr>
                <w:sz w:val="17"/>
                <w:lang w:val="en-GB"/>
              </w:rPr>
              <w:t xml:space="preserve">2 </w:t>
            </w:r>
          </w:p>
        </w:tc>
      </w:tr>
      <w:tr w:rsidR="00EA185F" w:rsidRPr="007003B2" w14:paraId="26C593E7" w14:textId="77777777" w:rsidTr="00206464">
        <w:tc>
          <w:tcPr>
            <w:tcW w:w="2160" w:type="dxa"/>
            <w:tcBorders>
              <w:top w:val="single" w:sz="4" w:space="0" w:color="auto"/>
              <w:bottom w:val="single" w:sz="12" w:space="0" w:color="auto"/>
            </w:tcBorders>
            <w:shd w:val="clear" w:color="auto" w:fill="auto"/>
            <w:vAlign w:val="bottom"/>
          </w:tcPr>
          <w:p w14:paraId="4E2E57BF" w14:textId="77777777" w:rsidR="00EA185F" w:rsidRPr="007003B2" w:rsidRDefault="00EA185F" w:rsidP="00206464">
            <w:pPr>
              <w:tabs>
                <w:tab w:val="left" w:pos="288"/>
                <w:tab w:val="left" w:pos="576"/>
                <w:tab w:val="left" w:pos="864"/>
                <w:tab w:val="left" w:pos="1152"/>
              </w:tabs>
              <w:spacing w:before="81" w:after="81" w:line="210" w:lineRule="exact"/>
              <w:ind w:left="288" w:right="40"/>
              <w:rPr>
                <w:b/>
                <w:sz w:val="17"/>
                <w:lang w:val="en-GB"/>
              </w:rPr>
            </w:pPr>
            <w:r w:rsidRPr="007003B2">
              <w:rPr>
                <w:b/>
                <w:sz w:val="17"/>
                <w:lang w:val="en-GB"/>
              </w:rPr>
              <w:t>Total</w:t>
            </w:r>
          </w:p>
        </w:tc>
        <w:tc>
          <w:tcPr>
            <w:tcW w:w="1076" w:type="dxa"/>
            <w:tcBorders>
              <w:top w:val="single" w:sz="4" w:space="0" w:color="auto"/>
              <w:bottom w:val="single" w:sz="12" w:space="0" w:color="auto"/>
            </w:tcBorders>
            <w:shd w:val="clear" w:color="auto" w:fill="auto"/>
            <w:vAlign w:val="bottom"/>
          </w:tcPr>
          <w:p w14:paraId="62E906A9"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p>
        </w:tc>
        <w:tc>
          <w:tcPr>
            <w:tcW w:w="1143" w:type="dxa"/>
            <w:tcBorders>
              <w:top w:val="single" w:sz="4" w:space="0" w:color="auto"/>
              <w:bottom w:val="single" w:sz="12" w:space="0" w:color="auto"/>
            </w:tcBorders>
            <w:shd w:val="clear" w:color="auto" w:fill="auto"/>
            <w:vAlign w:val="bottom"/>
          </w:tcPr>
          <w:p w14:paraId="20B17E27"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7</w:t>
            </w:r>
          </w:p>
        </w:tc>
        <w:tc>
          <w:tcPr>
            <w:tcW w:w="1143" w:type="dxa"/>
            <w:tcBorders>
              <w:top w:val="single" w:sz="4" w:space="0" w:color="auto"/>
              <w:bottom w:val="single" w:sz="12" w:space="0" w:color="auto"/>
            </w:tcBorders>
            <w:shd w:val="clear" w:color="auto" w:fill="auto"/>
            <w:vAlign w:val="bottom"/>
          </w:tcPr>
          <w:p w14:paraId="54416234"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857" w:type="dxa"/>
            <w:tcBorders>
              <w:top w:val="single" w:sz="4" w:space="0" w:color="auto"/>
              <w:bottom w:val="single" w:sz="12" w:space="0" w:color="auto"/>
            </w:tcBorders>
            <w:shd w:val="clear" w:color="auto" w:fill="auto"/>
            <w:vAlign w:val="bottom"/>
          </w:tcPr>
          <w:p w14:paraId="6B613C08"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857" w:type="dxa"/>
            <w:tcBorders>
              <w:top w:val="single" w:sz="4" w:space="0" w:color="auto"/>
              <w:bottom w:val="single" w:sz="12" w:space="0" w:color="auto"/>
            </w:tcBorders>
            <w:shd w:val="clear" w:color="auto" w:fill="auto"/>
            <w:vAlign w:val="bottom"/>
          </w:tcPr>
          <w:p w14:paraId="0C48E244"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762" w:type="dxa"/>
            <w:tcBorders>
              <w:top w:val="single" w:sz="4" w:space="0" w:color="auto"/>
              <w:bottom w:val="single" w:sz="12" w:space="0" w:color="auto"/>
            </w:tcBorders>
            <w:shd w:val="clear" w:color="auto" w:fill="auto"/>
            <w:vAlign w:val="bottom"/>
          </w:tcPr>
          <w:p w14:paraId="631CF8C8"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953" w:type="dxa"/>
            <w:tcBorders>
              <w:top w:val="single" w:sz="4" w:space="0" w:color="auto"/>
              <w:bottom w:val="single" w:sz="12" w:space="0" w:color="auto"/>
            </w:tcBorders>
            <w:shd w:val="clear" w:color="auto" w:fill="auto"/>
            <w:vAlign w:val="bottom"/>
          </w:tcPr>
          <w:p w14:paraId="698105B1"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w:t>
            </w:r>
          </w:p>
        </w:tc>
        <w:tc>
          <w:tcPr>
            <w:tcW w:w="895" w:type="dxa"/>
            <w:tcBorders>
              <w:top w:val="single" w:sz="4" w:space="0" w:color="auto"/>
              <w:bottom w:val="single" w:sz="12" w:space="0" w:color="auto"/>
            </w:tcBorders>
            <w:shd w:val="clear" w:color="auto" w:fill="auto"/>
            <w:vAlign w:val="bottom"/>
          </w:tcPr>
          <w:p w14:paraId="15C44CDE" w14:textId="77777777" w:rsidR="00EA185F" w:rsidRPr="007003B2" w:rsidRDefault="00EA185F" w:rsidP="00206464">
            <w:pPr>
              <w:tabs>
                <w:tab w:val="left" w:pos="288"/>
                <w:tab w:val="left" w:pos="576"/>
                <w:tab w:val="left" w:pos="864"/>
                <w:tab w:val="left" w:pos="1152"/>
              </w:tabs>
              <w:spacing w:before="81" w:after="81" w:line="210" w:lineRule="exact"/>
              <w:ind w:left="144" w:right="40"/>
              <w:jc w:val="right"/>
              <w:rPr>
                <w:b/>
                <w:sz w:val="17"/>
                <w:lang w:val="en-GB"/>
              </w:rPr>
            </w:pPr>
            <w:r w:rsidRPr="007003B2">
              <w:rPr>
                <w:b/>
                <w:sz w:val="17"/>
                <w:lang w:val="en-GB"/>
              </w:rPr>
              <w:t xml:space="preserve">7 </w:t>
            </w:r>
          </w:p>
        </w:tc>
      </w:tr>
    </w:tbl>
    <w:p w14:paraId="04C7C1B0"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E5E3C53"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03D2F9F"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lang w:val="en-GB"/>
        </w:rPr>
      </w:pPr>
      <w:r w:rsidRPr="007003B2">
        <w:rPr>
          <w:b w:val="0"/>
          <w:bCs/>
          <w:lang w:val="en-GB"/>
        </w:rPr>
        <w:t>Figure 15.XX</w:t>
      </w:r>
    </w:p>
    <w:p w14:paraId="465896CA"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n-GB"/>
        </w:rPr>
      </w:pPr>
      <w:r w:rsidRPr="007003B2">
        <w:rPr>
          <w:lang w:val="en-GB"/>
        </w:rPr>
        <w:t>Programme support: distribution of proposed resources for 2022 (before recosting)</w:t>
      </w:r>
    </w:p>
    <w:p w14:paraId="4F9DADC8"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bCs/>
          <w:sz w:val="14"/>
          <w:szCs w:val="14"/>
          <w:lang w:val="en-GB"/>
        </w:rPr>
      </w:pPr>
      <w:r w:rsidRPr="007003B2">
        <w:rPr>
          <w:b w:val="0"/>
          <w:bCs/>
          <w:sz w:val="14"/>
          <w:szCs w:val="14"/>
          <w:lang w:val="en-GB"/>
        </w:rPr>
        <w:t xml:space="preserve">(Number of posts/thousands of United States dollars) </w:t>
      </w:r>
    </w:p>
    <w:p w14:paraId="6F20B72E" w14:textId="00AC195E"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52064A2" w14:textId="5586324A" w:rsidR="00EA185F" w:rsidRPr="007003B2" w:rsidRDefault="007C43D4"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lang w:val="en-US"/>
        </w:rPr>
        <w:drawing>
          <wp:anchor distT="0" distB="0" distL="114300" distR="114300" simplePos="0" relativeHeight="251705344" behindDoc="0" locked="0" layoutInCell="1" allowOverlap="1" wp14:anchorId="02E47576" wp14:editId="1844122F">
            <wp:simplePos x="0" y="0"/>
            <wp:positionH relativeFrom="margin">
              <wp:align>left</wp:align>
            </wp:positionH>
            <wp:positionV relativeFrom="paragraph">
              <wp:posOffset>90170</wp:posOffset>
            </wp:positionV>
            <wp:extent cx="6219825" cy="3197860"/>
            <wp:effectExtent l="0" t="0" r="9525" b="2540"/>
            <wp:wrapTopAndBottom/>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02">
                      <a:extLst>
                        <a:ext uri="{28A0092B-C50C-407E-A947-70E740481C1C}">
                          <a14:useLocalDpi xmlns:a14="http://schemas.microsoft.com/office/drawing/2010/main" val="0"/>
                        </a:ext>
                      </a:extLst>
                    </a:blip>
                    <a:srcRect l="17487" r="15366" b="9156"/>
                    <a:stretch/>
                  </pic:blipFill>
                  <pic:spPr bwMode="auto">
                    <a:xfrm>
                      <a:off x="0" y="0"/>
                      <a:ext cx="6219825" cy="31978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CF07BB9"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0C76364"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C3CBE7B" w14:textId="77777777" w:rsidR="00EA185F" w:rsidRPr="007003B2" w:rsidRDefault="00EA185F" w:rsidP="00EA185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2534" w:right="1260" w:hanging="1267"/>
        <w:rPr>
          <w:lang w:val="en-GB"/>
        </w:rPr>
      </w:pPr>
      <w:r w:rsidRPr="007003B2">
        <w:rPr>
          <w:lang w:val="en-GB"/>
        </w:rPr>
        <w:t>Extrabudgetary resources</w:t>
      </w:r>
    </w:p>
    <w:p w14:paraId="716455A3"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1365037" w14:textId="4AD874F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r w:rsidRPr="007003B2">
        <w:tab/>
        <w:t>15.16</w:t>
      </w:r>
      <w:r w:rsidR="007B5582">
        <w:t>8</w:t>
      </w:r>
      <w:r w:rsidRPr="007003B2">
        <w:tab/>
        <w:t>Extrabudgetary resources for the subprogramme are estimated at $8,051,600 and would provide for 37 posts (1 D-1, 8 P-4, 8 P-3, 2 P-2/1, 1 NPO and 17 LL), as well as non-post resources. The resources would assist the Under-Secretary-General in discharging responsibilities in the areas of personnel, finance and general administration. The expected increase of $1,737,000 is attributable mainly to increased requirements for activities in support of programmes.</w:t>
      </w:r>
    </w:p>
    <w:p w14:paraId="1D1F4A73" w14:textId="77777777" w:rsidR="00EA185F" w:rsidRPr="007003B2" w:rsidRDefault="00EA185F" w:rsidP="00EA185F">
      <w:pPr>
        <w:suppressAutoHyphens w:val="0"/>
        <w:spacing w:after="200" w:line="276" w:lineRule="auto"/>
      </w:pPr>
      <w:r w:rsidRPr="007003B2">
        <w:br w:type="page"/>
      </w:r>
    </w:p>
    <w:p w14:paraId="5477E21D" w14:textId="77777777" w:rsidR="00EA185F" w:rsidRPr="007003B2" w:rsidRDefault="00EA185F" w:rsidP="00EA185F">
      <w:pPr>
        <w:pStyle w:val="HCh"/>
        <w:ind w:left="1267" w:right="1260" w:hanging="1267"/>
      </w:pPr>
      <w:r w:rsidRPr="007003B2">
        <w:lastRenderedPageBreak/>
        <w:t>Annex I</w:t>
      </w:r>
    </w:p>
    <w:p w14:paraId="162A4AB1"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F80237E" w14:textId="77777777" w:rsidR="00EA185F" w:rsidRPr="007003B2" w:rsidRDefault="00EA185F" w:rsidP="00EA185F">
      <w:pPr>
        <w:pStyle w:val="HCh"/>
        <w:ind w:left="2534" w:right="1260" w:hanging="1267"/>
      </w:pPr>
      <w:r w:rsidRPr="007003B2">
        <w:t>Organizational structure and post distribution for 2022</w:t>
      </w:r>
    </w:p>
    <w:p w14:paraId="21DE85A5"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70B9E1EE" w14:textId="7D386AD5" w:rsidR="00EA185F" w:rsidRPr="007003B2" w:rsidRDefault="007C43D4"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r>
        <w:rPr>
          <w:noProof/>
        </w:rPr>
        <w:drawing>
          <wp:anchor distT="0" distB="0" distL="114300" distR="114300" simplePos="0" relativeHeight="251707392" behindDoc="0" locked="0" layoutInCell="1" allowOverlap="1" wp14:anchorId="5F0F62B4" wp14:editId="78675F6B">
            <wp:simplePos x="0" y="0"/>
            <wp:positionH relativeFrom="margin">
              <wp:align>left</wp:align>
            </wp:positionH>
            <wp:positionV relativeFrom="paragraph">
              <wp:posOffset>76200</wp:posOffset>
            </wp:positionV>
            <wp:extent cx="6245225" cy="5979795"/>
            <wp:effectExtent l="0" t="0" r="3175" b="1905"/>
            <wp:wrapTopAndBottom/>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6245225" cy="5979795"/>
                    </a:xfrm>
                    <a:prstGeom prst="rect">
                      <a:avLst/>
                    </a:prstGeom>
                  </pic:spPr>
                </pic:pic>
              </a:graphicData>
            </a:graphic>
            <wp14:sizeRelH relativeFrom="margin">
              <wp14:pctWidth>0</wp14:pctWidth>
            </wp14:sizeRelH>
            <wp14:sizeRelV relativeFrom="margin">
              <wp14:pctHeight>0</wp14:pctHeight>
            </wp14:sizeRelV>
          </wp:anchor>
        </w:drawing>
      </w:r>
    </w:p>
    <w:p w14:paraId="380F0BCD"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344495F5" w14:textId="77777777" w:rsidR="00EA185F" w:rsidRPr="007003B2" w:rsidRDefault="00EA185F" w:rsidP="00EA185F">
      <w:pPr>
        <w:pStyle w:val="FootnoteText"/>
        <w:tabs>
          <w:tab w:val="clear" w:pos="418"/>
          <w:tab w:val="right" w:pos="216"/>
          <w:tab w:val="left" w:pos="288"/>
          <w:tab w:val="right" w:pos="576"/>
          <w:tab w:val="left" w:pos="648"/>
        </w:tabs>
        <w:ind w:left="288" w:hanging="288"/>
      </w:pPr>
      <w:r w:rsidRPr="007003B2">
        <w:rPr>
          <w:i/>
          <w:iCs/>
        </w:rPr>
        <w:t>Abbreviations</w:t>
      </w:r>
      <w:r w:rsidRPr="007003B2">
        <w:t>: USG, Under-Secretary-General; ASG, Assistant Secretary-General; GS (OL), General Service (Other level); LL, local level; NPO, National Professional Officer; RB, regular budget; XB, extrabudgetary.</w:t>
      </w:r>
    </w:p>
    <w:p w14:paraId="4639B3B7"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p>
    <w:p w14:paraId="2EB059E9"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p>
    <w:p w14:paraId="3E75FEBC" w14:textId="77777777" w:rsidR="00EA185F" w:rsidRPr="007003B2" w:rsidRDefault="00EA185F" w:rsidP="00EA185F">
      <w:pPr>
        <w:suppressAutoHyphens w:val="0"/>
        <w:spacing w:after="200" w:line="276" w:lineRule="auto"/>
      </w:pPr>
      <w:r w:rsidRPr="007003B2">
        <w:br w:type="page"/>
      </w:r>
    </w:p>
    <w:p w14:paraId="4FBA49E3" w14:textId="77777777" w:rsidR="00EA185F" w:rsidRPr="007003B2" w:rsidRDefault="00EA185F" w:rsidP="00EA185F">
      <w:pPr>
        <w:pStyle w:val="HCh"/>
        <w:ind w:left="1267" w:right="1260" w:hanging="1267"/>
      </w:pPr>
      <w:r w:rsidRPr="007003B2">
        <w:lastRenderedPageBreak/>
        <w:t xml:space="preserve">Annex II </w:t>
      </w:r>
    </w:p>
    <w:p w14:paraId="38B17044"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0A2CC2A3" w14:textId="77777777" w:rsidR="00EA185F" w:rsidRPr="007003B2" w:rsidRDefault="00EA185F" w:rsidP="00EA185F">
      <w:pPr>
        <w:pStyle w:val="HCh"/>
        <w:ind w:left="1267" w:right="1260"/>
      </w:pPr>
      <w:r w:rsidRPr="007003B2">
        <w:t xml:space="preserve">Summary of follow-up actions taken to implement relevant recommendations of the oversight bodies </w:t>
      </w:r>
    </w:p>
    <w:p w14:paraId="7233AA33"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43154F34"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25"/>
        <w:gridCol w:w="4925"/>
      </w:tblGrid>
      <w:tr w:rsidR="00EA185F" w:rsidRPr="007003B2" w14:paraId="30A75F7A" w14:textId="77777777" w:rsidTr="00206464">
        <w:trPr>
          <w:tblHeader/>
        </w:trPr>
        <w:tc>
          <w:tcPr>
            <w:tcW w:w="4925" w:type="dxa"/>
            <w:tcBorders>
              <w:top w:val="single" w:sz="4" w:space="0" w:color="auto"/>
              <w:bottom w:val="single" w:sz="12" w:space="0" w:color="auto"/>
            </w:tcBorders>
            <w:shd w:val="clear" w:color="auto" w:fill="auto"/>
            <w:vAlign w:val="bottom"/>
          </w:tcPr>
          <w:p w14:paraId="238C4E4A" w14:textId="77777777" w:rsidR="00EA185F" w:rsidRPr="007003B2" w:rsidRDefault="00EA185F" w:rsidP="007C43D4">
            <w:pPr>
              <w:spacing w:before="81" w:after="81" w:line="160" w:lineRule="exact"/>
              <w:ind w:right="40"/>
              <w:rPr>
                <w:i/>
                <w:sz w:val="14"/>
                <w:lang w:val="en-GB"/>
              </w:rPr>
            </w:pPr>
            <w:r w:rsidRPr="007003B2">
              <w:rPr>
                <w:i/>
                <w:sz w:val="14"/>
                <w:lang w:val="en-GB"/>
              </w:rPr>
              <w:t>Brief description of the recommendation</w:t>
            </w:r>
          </w:p>
        </w:tc>
        <w:tc>
          <w:tcPr>
            <w:tcW w:w="4925" w:type="dxa"/>
            <w:tcBorders>
              <w:top w:val="single" w:sz="4" w:space="0" w:color="auto"/>
              <w:bottom w:val="single" w:sz="12" w:space="0" w:color="auto"/>
            </w:tcBorders>
            <w:shd w:val="clear" w:color="auto" w:fill="auto"/>
            <w:vAlign w:val="bottom"/>
          </w:tcPr>
          <w:p w14:paraId="58A442E6" w14:textId="77777777" w:rsidR="00EA185F" w:rsidRPr="007003B2" w:rsidRDefault="00EA185F" w:rsidP="00206464">
            <w:pPr>
              <w:spacing w:before="81" w:after="81" w:line="160" w:lineRule="exact"/>
              <w:ind w:left="144" w:right="40"/>
              <w:rPr>
                <w:i/>
                <w:sz w:val="14"/>
                <w:lang w:val="en-GB"/>
              </w:rPr>
            </w:pPr>
            <w:r w:rsidRPr="007003B2">
              <w:rPr>
                <w:i/>
                <w:sz w:val="14"/>
                <w:lang w:val="en-GB"/>
              </w:rPr>
              <w:t>Action taken to implement the recommendation</w:t>
            </w:r>
          </w:p>
        </w:tc>
      </w:tr>
      <w:tr w:rsidR="00EA185F" w:rsidRPr="007003B2" w14:paraId="507B92EA" w14:textId="77777777" w:rsidTr="00206464">
        <w:trPr>
          <w:trHeight w:hRule="exact" w:val="115"/>
          <w:tblHeader/>
        </w:trPr>
        <w:tc>
          <w:tcPr>
            <w:tcW w:w="4925" w:type="dxa"/>
            <w:tcBorders>
              <w:top w:val="single" w:sz="12" w:space="0" w:color="auto"/>
            </w:tcBorders>
            <w:shd w:val="clear" w:color="auto" w:fill="auto"/>
            <w:vAlign w:val="bottom"/>
          </w:tcPr>
          <w:p w14:paraId="200690B5" w14:textId="77777777" w:rsidR="00EA185F" w:rsidRPr="007003B2" w:rsidRDefault="00EA185F" w:rsidP="007C43D4">
            <w:pPr>
              <w:spacing w:before="40" w:after="120"/>
              <w:ind w:right="40"/>
              <w:rPr>
                <w:lang w:val="en-GB"/>
              </w:rPr>
            </w:pPr>
          </w:p>
        </w:tc>
        <w:tc>
          <w:tcPr>
            <w:tcW w:w="4925" w:type="dxa"/>
            <w:tcBorders>
              <w:top w:val="single" w:sz="12" w:space="0" w:color="auto"/>
            </w:tcBorders>
            <w:shd w:val="clear" w:color="auto" w:fill="auto"/>
            <w:vAlign w:val="bottom"/>
          </w:tcPr>
          <w:p w14:paraId="36EA2AE0" w14:textId="77777777" w:rsidR="00EA185F" w:rsidRPr="007003B2" w:rsidRDefault="00EA185F" w:rsidP="00206464">
            <w:pPr>
              <w:spacing w:before="40" w:after="120"/>
              <w:ind w:left="144" w:right="40"/>
              <w:rPr>
                <w:lang w:val="en-GB"/>
              </w:rPr>
            </w:pPr>
          </w:p>
        </w:tc>
      </w:tr>
      <w:tr w:rsidR="00EA185F" w:rsidRPr="007003B2" w14:paraId="5A9D9E81" w14:textId="77777777" w:rsidTr="00206464">
        <w:tc>
          <w:tcPr>
            <w:tcW w:w="4925" w:type="dxa"/>
            <w:shd w:val="clear" w:color="auto" w:fill="auto"/>
          </w:tcPr>
          <w:p w14:paraId="2FBFF60C" w14:textId="77777777" w:rsidR="00EA185F" w:rsidRPr="007003B2" w:rsidRDefault="00EA185F" w:rsidP="007C43D4">
            <w:pPr>
              <w:tabs>
                <w:tab w:val="left" w:pos="288"/>
                <w:tab w:val="left" w:pos="576"/>
                <w:tab w:val="left" w:pos="864"/>
                <w:tab w:val="left" w:pos="1152"/>
              </w:tabs>
              <w:spacing w:before="40"/>
              <w:ind w:right="43"/>
              <w:rPr>
                <w:b/>
                <w:bCs/>
                <w:lang w:val="en-GB"/>
              </w:rPr>
            </w:pPr>
            <w:r w:rsidRPr="007003B2">
              <w:rPr>
                <w:b/>
                <w:bCs/>
                <w:lang w:val="en-GB"/>
              </w:rPr>
              <w:t xml:space="preserve">Board of Auditors </w:t>
            </w:r>
          </w:p>
        </w:tc>
        <w:tc>
          <w:tcPr>
            <w:tcW w:w="4925" w:type="dxa"/>
            <w:shd w:val="clear" w:color="auto" w:fill="auto"/>
          </w:tcPr>
          <w:p w14:paraId="724EF86F" w14:textId="77777777" w:rsidR="00EA185F" w:rsidRPr="007003B2" w:rsidRDefault="00EA185F" w:rsidP="00206464">
            <w:pPr>
              <w:tabs>
                <w:tab w:val="left" w:pos="288"/>
                <w:tab w:val="left" w:pos="576"/>
                <w:tab w:val="left" w:pos="864"/>
                <w:tab w:val="left" w:pos="1152"/>
              </w:tabs>
              <w:spacing w:before="40"/>
              <w:ind w:left="144" w:right="40"/>
              <w:rPr>
                <w:lang w:val="en-GB"/>
              </w:rPr>
            </w:pPr>
          </w:p>
        </w:tc>
      </w:tr>
      <w:tr w:rsidR="00EA185F" w:rsidRPr="007003B2" w14:paraId="0309964C" w14:textId="77777777" w:rsidTr="00206464">
        <w:tc>
          <w:tcPr>
            <w:tcW w:w="4925" w:type="dxa"/>
            <w:shd w:val="clear" w:color="auto" w:fill="auto"/>
          </w:tcPr>
          <w:p w14:paraId="6BD68F28" w14:textId="06FF9E7E" w:rsidR="00EA185F" w:rsidRPr="007003B2" w:rsidRDefault="0078207D" w:rsidP="007C43D4">
            <w:pPr>
              <w:tabs>
                <w:tab w:val="left" w:pos="288"/>
                <w:tab w:val="left" w:pos="576"/>
                <w:tab w:val="left" w:pos="864"/>
                <w:tab w:val="left" w:pos="1152"/>
              </w:tabs>
              <w:spacing w:after="120"/>
              <w:ind w:right="40"/>
              <w:rPr>
                <w:b/>
                <w:bCs/>
                <w:lang w:val="en-GB"/>
              </w:rPr>
            </w:pPr>
            <w:hyperlink r:id="rId104" w:history="1">
              <w:r w:rsidR="00EA185F" w:rsidRPr="007003B2">
                <w:rPr>
                  <w:rStyle w:val="Hyperlink"/>
                  <w:b/>
                  <w:bCs/>
                  <w:lang w:val="en-GB"/>
                </w:rPr>
                <w:t>A/74/5/Add.9</w:t>
              </w:r>
            </w:hyperlink>
            <w:r w:rsidR="00EA185F" w:rsidRPr="007003B2">
              <w:rPr>
                <w:b/>
                <w:bCs/>
                <w:lang w:val="en-GB"/>
              </w:rPr>
              <w:t>, chap. II, para. 42</w:t>
            </w:r>
          </w:p>
        </w:tc>
        <w:tc>
          <w:tcPr>
            <w:tcW w:w="4925" w:type="dxa"/>
            <w:shd w:val="clear" w:color="auto" w:fill="auto"/>
          </w:tcPr>
          <w:p w14:paraId="213ED8A3" w14:textId="77777777" w:rsidR="00EA185F" w:rsidRPr="007003B2" w:rsidRDefault="00EA185F" w:rsidP="00206464">
            <w:pPr>
              <w:tabs>
                <w:tab w:val="left" w:pos="288"/>
                <w:tab w:val="left" w:pos="576"/>
                <w:tab w:val="left" w:pos="864"/>
                <w:tab w:val="left" w:pos="1152"/>
              </w:tabs>
              <w:spacing w:before="40" w:after="120"/>
              <w:ind w:left="144" w:right="40"/>
              <w:rPr>
                <w:lang w:val="en-GB"/>
              </w:rPr>
            </w:pPr>
          </w:p>
        </w:tc>
      </w:tr>
      <w:tr w:rsidR="00EA185F" w:rsidRPr="007003B2" w14:paraId="21008F93" w14:textId="77777777" w:rsidTr="00206464">
        <w:tc>
          <w:tcPr>
            <w:tcW w:w="4925" w:type="dxa"/>
            <w:vMerge w:val="restart"/>
            <w:shd w:val="clear" w:color="auto" w:fill="auto"/>
          </w:tcPr>
          <w:p w14:paraId="21D7941D" w14:textId="176FF70E" w:rsidR="00EA185F" w:rsidRPr="007003B2" w:rsidRDefault="00EA185F" w:rsidP="007C43D4">
            <w:pPr>
              <w:tabs>
                <w:tab w:val="left" w:pos="288"/>
                <w:tab w:val="left" w:pos="576"/>
                <w:tab w:val="left" w:pos="864"/>
                <w:tab w:val="left" w:pos="1152"/>
              </w:tabs>
              <w:spacing w:before="40" w:after="120"/>
              <w:ind w:right="40"/>
              <w:rPr>
                <w:lang w:val="en-GB"/>
              </w:rPr>
            </w:pPr>
            <w:r w:rsidRPr="007003B2">
              <w:rPr>
                <w:lang w:val="en-GB"/>
              </w:rPr>
              <w:t xml:space="preserve">The Board recommends that UN-Habitat establish a framework and methodology for full cost recovery in accordance with General Assembly resolution </w:t>
            </w:r>
            <w:hyperlink r:id="rId105" w:history="1">
              <w:r w:rsidRPr="007003B2">
                <w:rPr>
                  <w:rStyle w:val="Hyperlink"/>
                  <w:lang w:val="en-GB"/>
                </w:rPr>
                <w:t>67/226</w:t>
              </w:r>
            </w:hyperlink>
            <w:r w:rsidRPr="007003B2">
              <w:rPr>
                <w:lang w:val="en-GB"/>
              </w:rPr>
              <w:t xml:space="preserve"> applicable in all units of the entity and inform its hubs and offices of its application.</w:t>
            </w:r>
          </w:p>
        </w:tc>
        <w:tc>
          <w:tcPr>
            <w:tcW w:w="4925" w:type="dxa"/>
            <w:shd w:val="clear" w:color="auto" w:fill="auto"/>
          </w:tcPr>
          <w:p w14:paraId="6659E058" w14:textId="77777777" w:rsidR="00EA185F" w:rsidRPr="007003B2" w:rsidRDefault="00EA185F" w:rsidP="00206464">
            <w:pPr>
              <w:tabs>
                <w:tab w:val="left" w:pos="288"/>
                <w:tab w:val="left" w:pos="576"/>
                <w:tab w:val="left" w:pos="864"/>
                <w:tab w:val="left" w:pos="1152"/>
              </w:tabs>
              <w:spacing w:before="40" w:after="120"/>
              <w:ind w:left="144" w:right="40"/>
              <w:rPr>
                <w:lang w:val="en-GB"/>
              </w:rPr>
            </w:pPr>
            <w:r w:rsidRPr="007003B2">
              <w:rPr>
                <w:i/>
                <w:iCs/>
                <w:lang w:val="en-GB"/>
              </w:rPr>
              <w:t>Status</w:t>
            </w:r>
            <w:r w:rsidRPr="007003B2">
              <w:rPr>
                <w:lang w:val="en-GB"/>
              </w:rPr>
              <w:t>: Under implementation</w:t>
            </w:r>
          </w:p>
        </w:tc>
      </w:tr>
      <w:tr w:rsidR="00EA185F" w:rsidRPr="007003B2" w14:paraId="35B3EAD7" w14:textId="77777777" w:rsidTr="00206464">
        <w:tc>
          <w:tcPr>
            <w:tcW w:w="4925" w:type="dxa"/>
            <w:vMerge/>
            <w:shd w:val="clear" w:color="auto" w:fill="auto"/>
          </w:tcPr>
          <w:p w14:paraId="2D90BAB1" w14:textId="77777777" w:rsidR="00EA185F" w:rsidRPr="007003B2" w:rsidRDefault="00EA185F" w:rsidP="007C43D4">
            <w:pPr>
              <w:tabs>
                <w:tab w:val="left" w:pos="288"/>
                <w:tab w:val="left" w:pos="576"/>
                <w:tab w:val="left" w:pos="864"/>
                <w:tab w:val="left" w:pos="1152"/>
              </w:tabs>
              <w:spacing w:before="40" w:after="120"/>
              <w:ind w:right="40"/>
              <w:rPr>
                <w:lang w:val="en-GB"/>
              </w:rPr>
            </w:pPr>
          </w:p>
        </w:tc>
        <w:tc>
          <w:tcPr>
            <w:tcW w:w="4925" w:type="dxa"/>
            <w:shd w:val="clear" w:color="auto" w:fill="auto"/>
          </w:tcPr>
          <w:p w14:paraId="2456EC4C" w14:textId="77777777" w:rsidR="00EA185F" w:rsidRPr="007003B2" w:rsidRDefault="00EA185F" w:rsidP="00206464">
            <w:pPr>
              <w:tabs>
                <w:tab w:val="left" w:pos="288"/>
                <w:tab w:val="left" w:pos="576"/>
                <w:tab w:val="left" w:pos="864"/>
                <w:tab w:val="left" w:pos="1152"/>
              </w:tabs>
              <w:spacing w:before="40" w:after="120"/>
              <w:ind w:left="144" w:right="40"/>
              <w:rPr>
                <w:lang w:val="en-GB"/>
              </w:rPr>
            </w:pPr>
            <w:r w:rsidRPr="007003B2">
              <w:rPr>
                <w:lang w:val="en-GB"/>
              </w:rPr>
              <w:t>UN-Habitat acknowledges the referenced General Assembly resolution, in which United Nations organizations are requested to ensure that neither regular budget nor non-earmarked resources are used to subsidize activities under earmarked trust-fund projects. In 2020, as a first step, UN-Habitat apportioned all common service costs for earmarked projects among the relevant projects. UN-Habitat is in the process of implementing additional measures to prevent the cross-subsidization of activities from various funding sources. In 2021, UN-Habitat will evaluate options for funding field, regional and multi</w:t>
            </w:r>
            <w:r w:rsidRPr="007003B2">
              <w:rPr>
                <w:lang w:val="en-GB"/>
              </w:rPr>
              <w:noBreakHyphen/>
              <w:t>country offices through cost allocations. This eventual funding arrangement will be reflected in future contribution agreements with field, regional and multi-country offices.</w:t>
            </w:r>
          </w:p>
        </w:tc>
      </w:tr>
      <w:tr w:rsidR="00EA185F" w:rsidRPr="007003B2" w14:paraId="783ADB4E" w14:textId="77777777" w:rsidTr="00206464">
        <w:tc>
          <w:tcPr>
            <w:tcW w:w="4925" w:type="dxa"/>
            <w:tcBorders>
              <w:bottom w:val="single" w:sz="12" w:space="0" w:color="auto"/>
            </w:tcBorders>
            <w:shd w:val="clear" w:color="auto" w:fill="auto"/>
          </w:tcPr>
          <w:p w14:paraId="5244FBAB" w14:textId="77777777" w:rsidR="00EA185F" w:rsidRPr="007003B2" w:rsidRDefault="00EA185F" w:rsidP="007C43D4">
            <w:pPr>
              <w:tabs>
                <w:tab w:val="left" w:pos="288"/>
                <w:tab w:val="left" w:pos="576"/>
                <w:tab w:val="left" w:pos="864"/>
                <w:tab w:val="left" w:pos="1152"/>
              </w:tabs>
              <w:spacing w:before="40" w:after="120"/>
              <w:ind w:right="40"/>
              <w:rPr>
                <w:lang w:val="en-GB"/>
              </w:rPr>
            </w:pPr>
          </w:p>
        </w:tc>
        <w:tc>
          <w:tcPr>
            <w:tcW w:w="4925" w:type="dxa"/>
            <w:tcBorders>
              <w:bottom w:val="single" w:sz="12" w:space="0" w:color="auto"/>
            </w:tcBorders>
            <w:shd w:val="clear" w:color="auto" w:fill="auto"/>
          </w:tcPr>
          <w:p w14:paraId="3B77A67D" w14:textId="77777777" w:rsidR="00EA185F" w:rsidRPr="007003B2" w:rsidRDefault="00EA185F" w:rsidP="00206464">
            <w:pPr>
              <w:tabs>
                <w:tab w:val="left" w:pos="288"/>
                <w:tab w:val="left" w:pos="576"/>
                <w:tab w:val="left" w:pos="864"/>
                <w:tab w:val="left" w:pos="1152"/>
              </w:tabs>
              <w:spacing w:before="40" w:after="120"/>
              <w:ind w:left="144" w:right="40"/>
              <w:rPr>
                <w:lang w:val="en-GB"/>
              </w:rPr>
            </w:pPr>
            <w:r w:rsidRPr="007003B2">
              <w:rPr>
                <w:lang w:val="en-GB"/>
              </w:rPr>
              <w:t>This recommendation has been partially implemented.</w:t>
            </w:r>
          </w:p>
        </w:tc>
      </w:tr>
    </w:tbl>
    <w:p w14:paraId="04FC2DA2"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p>
    <w:p w14:paraId="596F61B6"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p>
    <w:p w14:paraId="2104765C" w14:textId="77777777" w:rsidR="00EA185F" w:rsidRPr="007003B2" w:rsidRDefault="00EA185F" w:rsidP="00EA185F">
      <w:pPr>
        <w:suppressAutoHyphens w:val="0"/>
        <w:spacing w:after="200" w:line="276" w:lineRule="auto"/>
      </w:pPr>
      <w:r w:rsidRPr="007003B2">
        <w:br w:type="page"/>
      </w:r>
    </w:p>
    <w:p w14:paraId="433D68D6" w14:textId="77777777" w:rsidR="00EA185F" w:rsidRPr="007003B2" w:rsidRDefault="00EA185F" w:rsidP="00EA185F">
      <w:pPr>
        <w:pStyle w:val="HCh"/>
        <w:ind w:left="1267" w:right="1260" w:hanging="1267"/>
      </w:pPr>
      <w:r w:rsidRPr="007003B2">
        <w:lastRenderedPageBreak/>
        <w:t>Annex III</w:t>
      </w:r>
    </w:p>
    <w:p w14:paraId="25EBA32D"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5BDFA91F" w14:textId="77777777" w:rsidR="00EA185F" w:rsidRPr="007003B2" w:rsidRDefault="00EA185F" w:rsidP="00EA185F">
      <w:pPr>
        <w:pStyle w:val="HCh"/>
        <w:ind w:left="1267" w:right="300"/>
      </w:pPr>
      <w:r w:rsidRPr="007003B2">
        <w:t>Summary of proposed post changes, by component and subprogramme</w:t>
      </w:r>
    </w:p>
    <w:p w14:paraId="2E67F7CF"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p w14:paraId="659A891A"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line="120" w:lineRule="exact"/>
        <w:ind w:left="1267" w:hanging="1267"/>
        <w:jc w:val="both"/>
        <w:rPr>
          <w:sz w:val="10"/>
        </w:rPr>
      </w:pPr>
    </w:p>
    <w:tbl>
      <w:tblPr>
        <w:tblStyle w:val="TableGrid"/>
        <w:tblW w:w="9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987"/>
        <w:gridCol w:w="737"/>
        <w:gridCol w:w="818"/>
        <w:gridCol w:w="2285"/>
        <w:gridCol w:w="4023"/>
      </w:tblGrid>
      <w:tr w:rsidR="00EA185F" w:rsidRPr="007003B2" w14:paraId="0F40E085" w14:textId="77777777" w:rsidTr="007C43D4">
        <w:trPr>
          <w:tblHeader/>
        </w:trPr>
        <w:tc>
          <w:tcPr>
            <w:tcW w:w="1009" w:type="pct"/>
            <w:tcBorders>
              <w:top w:val="single" w:sz="4" w:space="0" w:color="auto"/>
              <w:bottom w:val="single" w:sz="12" w:space="0" w:color="auto"/>
            </w:tcBorders>
            <w:shd w:val="clear" w:color="auto" w:fill="auto"/>
            <w:vAlign w:val="bottom"/>
          </w:tcPr>
          <w:p w14:paraId="748AA088" w14:textId="77777777" w:rsidR="00EA185F" w:rsidRPr="007003B2" w:rsidRDefault="00EA185F" w:rsidP="00206464">
            <w:pPr>
              <w:spacing w:before="81" w:after="81" w:line="160" w:lineRule="exact"/>
              <w:ind w:right="40"/>
              <w:rPr>
                <w:i/>
                <w:sz w:val="14"/>
                <w:lang w:val="en-GB"/>
              </w:rPr>
            </w:pPr>
            <w:r w:rsidRPr="007003B2">
              <w:rPr>
                <w:i/>
                <w:sz w:val="14"/>
                <w:lang w:val="en-GB"/>
              </w:rPr>
              <w:t>Component/subprogramme</w:t>
            </w:r>
          </w:p>
        </w:tc>
        <w:tc>
          <w:tcPr>
            <w:tcW w:w="374" w:type="pct"/>
            <w:tcBorders>
              <w:top w:val="single" w:sz="4" w:space="0" w:color="auto"/>
              <w:bottom w:val="single" w:sz="12" w:space="0" w:color="auto"/>
            </w:tcBorders>
            <w:shd w:val="clear" w:color="auto" w:fill="auto"/>
            <w:vAlign w:val="bottom"/>
          </w:tcPr>
          <w:p w14:paraId="053D6570" w14:textId="77777777" w:rsidR="00EA185F" w:rsidRPr="007003B2" w:rsidRDefault="00EA185F" w:rsidP="00206464">
            <w:pPr>
              <w:spacing w:before="81" w:after="81" w:line="160" w:lineRule="exact"/>
              <w:ind w:left="144" w:right="40"/>
              <w:jc w:val="right"/>
              <w:rPr>
                <w:i/>
                <w:sz w:val="14"/>
                <w:lang w:val="en-GB"/>
              </w:rPr>
            </w:pPr>
            <w:r w:rsidRPr="007003B2">
              <w:rPr>
                <w:i/>
                <w:sz w:val="14"/>
                <w:lang w:val="en-GB"/>
              </w:rPr>
              <w:t>Posts</w:t>
            </w:r>
          </w:p>
        </w:tc>
        <w:tc>
          <w:tcPr>
            <w:tcW w:w="415" w:type="pct"/>
            <w:tcBorders>
              <w:top w:val="single" w:sz="4" w:space="0" w:color="auto"/>
              <w:bottom w:val="single" w:sz="12" w:space="0" w:color="auto"/>
            </w:tcBorders>
            <w:shd w:val="clear" w:color="auto" w:fill="auto"/>
            <w:vAlign w:val="bottom"/>
          </w:tcPr>
          <w:p w14:paraId="1F69400C" w14:textId="77777777" w:rsidR="00EA185F" w:rsidRPr="007003B2" w:rsidRDefault="00EA185F" w:rsidP="00206464">
            <w:pPr>
              <w:spacing w:before="81" w:after="81" w:line="160" w:lineRule="exact"/>
              <w:ind w:left="144" w:right="40"/>
              <w:rPr>
                <w:i/>
                <w:sz w:val="14"/>
                <w:lang w:val="en-GB"/>
              </w:rPr>
            </w:pPr>
            <w:r w:rsidRPr="007003B2">
              <w:rPr>
                <w:i/>
                <w:sz w:val="14"/>
                <w:lang w:val="en-GB"/>
              </w:rPr>
              <w:t>Level</w:t>
            </w:r>
          </w:p>
        </w:tc>
        <w:tc>
          <w:tcPr>
            <w:tcW w:w="1160" w:type="pct"/>
            <w:tcBorders>
              <w:top w:val="single" w:sz="4" w:space="0" w:color="auto"/>
              <w:bottom w:val="single" w:sz="12" w:space="0" w:color="auto"/>
            </w:tcBorders>
            <w:shd w:val="clear" w:color="auto" w:fill="auto"/>
            <w:vAlign w:val="bottom"/>
          </w:tcPr>
          <w:p w14:paraId="23CAD557" w14:textId="77777777" w:rsidR="00EA185F" w:rsidRPr="007003B2" w:rsidRDefault="00EA185F" w:rsidP="00206464">
            <w:pPr>
              <w:spacing w:before="81" w:after="81" w:line="160" w:lineRule="exact"/>
              <w:ind w:left="144" w:right="40"/>
              <w:rPr>
                <w:i/>
                <w:sz w:val="14"/>
                <w:lang w:val="en-GB"/>
              </w:rPr>
            </w:pPr>
            <w:r w:rsidRPr="007003B2">
              <w:rPr>
                <w:i/>
                <w:sz w:val="14"/>
                <w:lang w:val="en-GB"/>
              </w:rPr>
              <w:t>Description</w:t>
            </w:r>
          </w:p>
        </w:tc>
        <w:tc>
          <w:tcPr>
            <w:tcW w:w="2042" w:type="pct"/>
            <w:tcBorders>
              <w:top w:val="single" w:sz="4" w:space="0" w:color="auto"/>
              <w:bottom w:val="single" w:sz="12" w:space="0" w:color="auto"/>
            </w:tcBorders>
            <w:shd w:val="clear" w:color="auto" w:fill="auto"/>
            <w:vAlign w:val="bottom"/>
          </w:tcPr>
          <w:p w14:paraId="3767414C" w14:textId="77777777" w:rsidR="00EA185F" w:rsidRPr="007003B2" w:rsidRDefault="00EA185F" w:rsidP="00206464">
            <w:pPr>
              <w:spacing w:before="81" w:after="81" w:line="160" w:lineRule="exact"/>
              <w:ind w:left="144" w:right="40"/>
              <w:rPr>
                <w:i/>
                <w:sz w:val="14"/>
                <w:lang w:val="en-GB"/>
              </w:rPr>
            </w:pPr>
            <w:r w:rsidRPr="007003B2">
              <w:rPr>
                <w:i/>
                <w:sz w:val="14"/>
                <w:lang w:val="en-GB"/>
              </w:rPr>
              <w:t>Reason for change</w:t>
            </w:r>
          </w:p>
        </w:tc>
      </w:tr>
      <w:tr w:rsidR="00EA185F" w:rsidRPr="007003B2" w14:paraId="6DF599FC" w14:textId="77777777" w:rsidTr="007C43D4">
        <w:trPr>
          <w:trHeight w:hRule="exact" w:val="115"/>
          <w:tblHeader/>
        </w:trPr>
        <w:tc>
          <w:tcPr>
            <w:tcW w:w="1009" w:type="pct"/>
            <w:tcBorders>
              <w:top w:val="single" w:sz="12" w:space="0" w:color="auto"/>
            </w:tcBorders>
            <w:shd w:val="clear" w:color="auto" w:fill="auto"/>
            <w:vAlign w:val="bottom"/>
          </w:tcPr>
          <w:p w14:paraId="46F214F9" w14:textId="77777777" w:rsidR="00EA185F" w:rsidRPr="007003B2" w:rsidRDefault="00EA185F" w:rsidP="00206464">
            <w:pPr>
              <w:spacing w:before="40" w:after="120"/>
              <w:ind w:right="40"/>
              <w:rPr>
                <w:lang w:val="en-GB"/>
              </w:rPr>
            </w:pPr>
          </w:p>
        </w:tc>
        <w:tc>
          <w:tcPr>
            <w:tcW w:w="374" w:type="pct"/>
            <w:tcBorders>
              <w:top w:val="single" w:sz="12" w:space="0" w:color="auto"/>
            </w:tcBorders>
            <w:shd w:val="clear" w:color="auto" w:fill="auto"/>
            <w:vAlign w:val="bottom"/>
          </w:tcPr>
          <w:p w14:paraId="501B794F" w14:textId="77777777" w:rsidR="00EA185F" w:rsidRPr="007003B2" w:rsidRDefault="00EA185F" w:rsidP="00206464">
            <w:pPr>
              <w:spacing w:before="40" w:after="120"/>
              <w:ind w:left="144" w:right="40"/>
              <w:jc w:val="right"/>
              <w:rPr>
                <w:lang w:val="en-GB"/>
              </w:rPr>
            </w:pPr>
          </w:p>
        </w:tc>
        <w:tc>
          <w:tcPr>
            <w:tcW w:w="415" w:type="pct"/>
            <w:tcBorders>
              <w:top w:val="single" w:sz="12" w:space="0" w:color="auto"/>
            </w:tcBorders>
            <w:shd w:val="clear" w:color="auto" w:fill="auto"/>
            <w:vAlign w:val="bottom"/>
          </w:tcPr>
          <w:p w14:paraId="4909B845" w14:textId="77777777" w:rsidR="00EA185F" w:rsidRPr="007003B2" w:rsidRDefault="00EA185F" w:rsidP="00206464">
            <w:pPr>
              <w:spacing w:before="40" w:after="120"/>
              <w:ind w:left="144" w:right="40"/>
              <w:rPr>
                <w:lang w:val="en-GB"/>
              </w:rPr>
            </w:pPr>
          </w:p>
        </w:tc>
        <w:tc>
          <w:tcPr>
            <w:tcW w:w="1160" w:type="pct"/>
            <w:tcBorders>
              <w:top w:val="single" w:sz="12" w:space="0" w:color="auto"/>
            </w:tcBorders>
            <w:shd w:val="clear" w:color="auto" w:fill="auto"/>
            <w:vAlign w:val="bottom"/>
          </w:tcPr>
          <w:p w14:paraId="14EF107A" w14:textId="77777777" w:rsidR="00EA185F" w:rsidRPr="007003B2" w:rsidRDefault="00EA185F" w:rsidP="00206464">
            <w:pPr>
              <w:spacing w:before="40" w:after="120"/>
              <w:ind w:left="144" w:right="40"/>
              <w:rPr>
                <w:lang w:val="en-GB"/>
              </w:rPr>
            </w:pPr>
          </w:p>
        </w:tc>
        <w:tc>
          <w:tcPr>
            <w:tcW w:w="2042" w:type="pct"/>
            <w:tcBorders>
              <w:top w:val="single" w:sz="12" w:space="0" w:color="auto"/>
            </w:tcBorders>
            <w:shd w:val="clear" w:color="auto" w:fill="auto"/>
            <w:vAlign w:val="bottom"/>
          </w:tcPr>
          <w:p w14:paraId="3257D0E4" w14:textId="77777777" w:rsidR="00EA185F" w:rsidRPr="007003B2" w:rsidRDefault="00EA185F" w:rsidP="00206464">
            <w:pPr>
              <w:spacing w:before="40" w:after="120"/>
              <w:ind w:left="144" w:right="40"/>
              <w:rPr>
                <w:lang w:val="en-GB"/>
              </w:rPr>
            </w:pPr>
          </w:p>
        </w:tc>
      </w:tr>
      <w:tr w:rsidR="00EA185F" w:rsidRPr="007003B2" w14:paraId="5A439BCA" w14:textId="77777777" w:rsidTr="007C43D4">
        <w:tc>
          <w:tcPr>
            <w:tcW w:w="1009" w:type="pct"/>
            <w:shd w:val="clear" w:color="auto" w:fill="auto"/>
          </w:tcPr>
          <w:p w14:paraId="02214C9D" w14:textId="77777777" w:rsidR="00EA185F" w:rsidRPr="007003B2" w:rsidRDefault="00EA185F" w:rsidP="00206464">
            <w:pPr>
              <w:tabs>
                <w:tab w:val="left" w:pos="288"/>
                <w:tab w:val="left" w:pos="576"/>
                <w:tab w:val="left" w:pos="864"/>
                <w:tab w:val="left" w:pos="1152"/>
              </w:tabs>
              <w:spacing w:before="40" w:after="120"/>
              <w:ind w:right="40"/>
              <w:rPr>
                <w:lang w:val="en-GB"/>
              </w:rPr>
            </w:pPr>
            <w:r w:rsidRPr="007003B2">
              <w:rPr>
                <w:lang w:val="en-GB"/>
              </w:rPr>
              <w:t>Subprogramme 2, Enhanced shared prosperity of cities and regions and subprogramme 3, Strengthened climate action and improved urban environment</w:t>
            </w:r>
          </w:p>
        </w:tc>
        <w:tc>
          <w:tcPr>
            <w:tcW w:w="374" w:type="pct"/>
            <w:shd w:val="clear" w:color="auto" w:fill="auto"/>
          </w:tcPr>
          <w:p w14:paraId="5284E472" w14:textId="77777777" w:rsidR="00EA185F" w:rsidRPr="007003B2" w:rsidRDefault="00EA185F" w:rsidP="00206464">
            <w:pPr>
              <w:tabs>
                <w:tab w:val="left" w:pos="288"/>
                <w:tab w:val="left" w:pos="576"/>
                <w:tab w:val="left" w:pos="864"/>
                <w:tab w:val="left" w:pos="1152"/>
              </w:tabs>
              <w:spacing w:before="40" w:after="120"/>
              <w:ind w:left="144" w:right="40"/>
              <w:jc w:val="right"/>
              <w:rPr>
                <w:lang w:val="en-GB"/>
              </w:rPr>
            </w:pPr>
            <w:r w:rsidRPr="007003B2">
              <w:rPr>
                <w:lang w:val="en-GB"/>
              </w:rPr>
              <w:t>(2)</w:t>
            </w:r>
          </w:p>
        </w:tc>
        <w:tc>
          <w:tcPr>
            <w:tcW w:w="415" w:type="pct"/>
            <w:shd w:val="clear" w:color="auto" w:fill="auto"/>
          </w:tcPr>
          <w:p w14:paraId="4F3CD935" w14:textId="77777777" w:rsidR="00EA185F" w:rsidRPr="007003B2" w:rsidRDefault="00EA185F" w:rsidP="00206464">
            <w:pPr>
              <w:tabs>
                <w:tab w:val="left" w:pos="288"/>
                <w:tab w:val="left" w:pos="576"/>
                <w:tab w:val="left" w:pos="864"/>
                <w:tab w:val="left" w:pos="1152"/>
              </w:tabs>
              <w:spacing w:before="40" w:after="120"/>
              <w:ind w:left="144" w:right="40"/>
              <w:rPr>
                <w:lang w:val="en-GB"/>
              </w:rPr>
            </w:pPr>
            <w:r w:rsidRPr="007003B2">
              <w:rPr>
                <w:lang w:val="en-GB"/>
              </w:rPr>
              <w:t>P-3</w:t>
            </w:r>
          </w:p>
        </w:tc>
        <w:tc>
          <w:tcPr>
            <w:tcW w:w="1160" w:type="pct"/>
            <w:shd w:val="clear" w:color="auto" w:fill="auto"/>
          </w:tcPr>
          <w:p w14:paraId="6C65B765" w14:textId="77777777" w:rsidR="00EA185F" w:rsidRPr="007003B2" w:rsidRDefault="00EA185F" w:rsidP="00206464">
            <w:pPr>
              <w:tabs>
                <w:tab w:val="left" w:pos="288"/>
                <w:tab w:val="left" w:pos="576"/>
                <w:tab w:val="left" w:pos="864"/>
                <w:tab w:val="left" w:pos="1152"/>
              </w:tabs>
              <w:spacing w:before="40" w:after="120"/>
              <w:ind w:left="144" w:right="40"/>
              <w:rPr>
                <w:lang w:val="en-GB"/>
              </w:rPr>
            </w:pPr>
            <w:r w:rsidRPr="007003B2">
              <w:rPr>
                <w:b/>
                <w:bCs/>
                <w:lang w:val="en-GB"/>
              </w:rPr>
              <w:t>Redeployment</w:t>
            </w:r>
            <w:r w:rsidRPr="007003B2">
              <w:rPr>
                <w:lang w:val="en-GB"/>
              </w:rPr>
              <w:t xml:space="preserve"> of 2 posts of Programme Management Officer (P-3) to subprogramme 4</w:t>
            </w:r>
          </w:p>
        </w:tc>
        <w:tc>
          <w:tcPr>
            <w:tcW w:w="2042" w:type="pct"/>
            <w:vMerge w:val="restart"/>
            <w:shd w:val="clear" w:color="auto" w:fill="auto"/>
          </w:tcPr>
          <w:p w14:paraId="1539822C" w14:textId="77777777" w:rsidR="00EA185F" w:rsidRPr="007003B2" w:rsidRDefault="00EA185F" w:rsidP="00206464">
            <w:pPr>
              <w:tabs>
                <w:tab w:val="left" w:pos="288"/>
                <w:tab w:val="left" w:pos="576"/>
                <w:tab w:val="left" w:pos="864"/>
                <w:tab w:val="left" w:pos="1152"/>
              </w:tabs>
              <w:spacing w:before="40" w:after="120"/>
              <w:ind w:left="144" w:right="40"/>
              <w:rPr>
                <w:lang w:val="en-GB"/>
              </w:rPr>
            </w:pPr>
            <w:r w:rsidRPr="007003B2">
              <w:rPr>
                <w:lang w:val="en-GB"/>
              </w:rPr>
              <w:t>Proposed in line with the consolidation of external relation functions under subprogramme 4. Even though the work on external relations applies to all subprogrammes, the proposed redeployment to subprogramme 4 is primarily attributable to the recent increase in demand for external relations support for crisis prevention and response, in part owing to the recent developments associated with the coronavirus disease (COVID-19) pandemic. This change is in line with the strategic direction endorsed by the Executive Board and is intended to maximize the effectiveness and progress towards the objectives of all the subprogrammes of UN</w:t>
            </w:r>
            <w:r w:rsidRPr="007003B2">
              <w:rPr>
                <w:lang w:val="en-GB"/>
              </w:rPr>
              <w:noBreakHyphen/>
              <w:t>Habitat.</w:t>
            </w:r>
          </w:p>
        </w:tc>
      </w:tr>
      <w:tr w:rsidR="00EA185F" w:rsidRPr="007003B2" w14:paraId="009CEF01" w14:textId="77777777" w:rsidTr="007C43D4">
        <w:tc>
          <w:tcPr>
            <w:tcW w:w="1009" w:type="pct"/>
            <w:tcBorders>
              <w:bottom w:val="single" w:sz="12" w:space="0" w:color="auto"/>
            </w:tcBorders>
            <w:shd w:val="clear" w:color="auto" w:fill="auto"/>
          </w:tcPr>
          <w:p w14:paraId="6EBC6AFF" w14:textId="77777777" w:rsidR="00EA185F" w:rsidRPr="007003B2" w:rsidRDefault="00EA185F" w:rsidP="00206464">
            <w:pPr>
              <w:tabs>
                <w:tab w:val="left" w:pos="288"/>
                <w:tab w:val="left" w:pos="576"/>
                <w:tab w:val="left" w:pos="864"/>
                <w:tab w:val="left" w:pos="1152"/>
              </w:tabs>
              <w:spacing w:before="40" w:after="120"/>
              <w:ind w:right="40"/>
              <w:rPr>
                <w:lang w:val="en-GB"/>
              </w:rPr>
            </w:pPr>
            <w:r w:rsidRPr="007003B2">
              <w:rPr>
                <w:lang w:val="en-GB"/>
              </w:rPr>
              <w:t>Subprogramme 4, Effective urban crisis prevention and response</w:t>
            </w:r>
          </w:p>
        </w:tc>
        <w:tc>
          <w:tcPr>
            <w:tcW w:w="374" w:type="pct"/>
            <w:tcBorders>
              <w:bottom w:val="single" w:sz="12" w:space="0" w:color="auto"/>
            </w:tcBorders>
            <w:shd w:val="clear" w:color="auto" w:fill="auto"/>
          </w:tcPr>
          <w:p w14:paraId="4D61B7F0" w14:textId="77777777" w:rsidR="00EA185F" w:rsidRPr="007003B2" w:rsidRDefault="00EA185F" w:rsidP="00206464">
            <w:pPr>
              <w:tabs>
                <w:tab w:val="left" w:pos="288"/>
                <w:tab w:val="left" w:pos="576"/>
                <w:tab w:val="left" w:pos="864"/>
                <w:tab w:val="left" w:pos="1152"/>
              </w:tabs>
              <w:spacing w:before="40" w:after="120"/>
              <w:ind w:left="144" w:right="40"/>
              <w:jc w:val="right"/>
              <w:rPr>
                <w:lang w:val="en-GB"/>
              </w:rPr>
            </w:pPr>
            <w:r w:rsidRPr="007003B2">
              <w:rPr>
                <w:lang w:val="en-GB"/>
              </w:rPr>
              <w:t>2</w:t>
            </w:r>
          </w:p>
        </w:tc>
        <w:tc>
          <w:tcPr>
            <w:tcW w:w="415" w:type="pct"/>
            <w:tcBorders>
              <w:bottom w:val="single" w:sz="12" w:space="0" w:color="auto"/>
            </w:tcBorders>
            <w:shd w:val="clear" w:color="auto" w:fill="auto"/>
          </w:tcPr>
          <w:p w14:paraId="38DA6368" w14:textId="77777777" w:rsidR="00EA185F" w:rsidRPr="007003B2" w:rsidRDefault="00EA185F" w:rsidP="00206464">
            <w:pPr>
              <w:tabs>
                <w:tab w:val="left" w:pos="288"/>
                <w:tab w:val="left" w:pos="576"/>
                <w:tab w:val="left" w:pos="864"/>
                <w:tab w:val="left" w:pos="1152"/>
              </w:tabs>
              <w:spacing w:before="40" w:after="120"/>
              <w:ind w:left="144" w:right="40"/>
              <w:rPr>
                <w:lang w:val="en-GB"/>
              </w:rPr>
            </w:pPr>
            <w:r w:rsidRPr="007003B2">
              <w:rPr>
                <w:lang w:val="en-GB"/>
              </w:rPr>
              <w:t>P-3</w:t>
            </w:r>
          </w:p>
        </w:tc>
        <w:tc>
          <w:tcPr>
            <w:tcW w:w="1160" w:type="pct"/>
            <w:tcBorders>
              <w:bottom w:val="single" w:sz="12" w:space="0" w:color="auto"/>
            </w:tcBorders>
            <w:shd w:val="clear" w:color="auto" w:fill="auto"/>
          </w:tcPr>
          <w:p w14:paraId="2D2451DE" w14:textId="77777777" w:rsidR="00EA185F" w:rsidRPr="007003B2" w:rsidRDefault="00EA185F" w:rsidP="00206464">
            <w:pPr>
              <w:tabs>
                <w:tab w:val="left" w:pos="288"/>
                <w:tab w:val="left" w:pos="576"/>
                <w:tab w:val="left" w:pos="864"/>
                <w:tab w:val="left" w:pos="1152"/>
              </w:tabs>
              <w:spacing w:before="40" w:after="120"/>
              <w:ind w:left="144" w:right="40"/>
              <w:rPr>
                <w:lang w:val="en-GB"/>
              </w:rPr>
            </w:pPr>
          </w:p>
        </w:tc>
        <w:tc>
          <w:tcPr>
            <w:tcW w:w="2042" w:type="pct"/>
            <w:vMerge/>
            <w:tcBorders>
              <w:bottom w:val="single" w:sz="12" w:space="0" w:color="auto"/>
            </w:tcBorders>
            <w:shd w:val="clear" w:color="auto" w:fill="auto"/>
          </w:tcPr>
          <w:p w14:paraId="65657741" w14:textId="77777777" w:rsidR="00EA185F" w:rsidRPr="007003B2" w:rsidRDefault="00EA185F" w:rsidP="00206464">
            <w:pPr>
              <w:tabs>
                <w:tab w:val="left" w:pos="288"/>
                <w:tab w:val="left" w:pos="576"/>
                <w:tab w:val="left" w:pos="864"/>
                <w:tab w:val="left" w:pos="1152"/>
              </w:tabs>
              <w:spacing w:before="40" w:after="120"/>
              <w:ind w:left="144" w:right="40"/>
              <w:rPr>
                <w:lang w:val="en-GB"/>
              </w:rPr>
            </w:pPr>
          </w:p>
        </w:tc>
      </w:tr>
    </w:tbl>
    <w:p w14:paraId="1F89AC8B" w14:textId="77777777" w:rsidR="00EA185F" w:rsidRPr="007003B2" w:rsidRDefault="00EA185F" w:rsidP="00EA185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jc w:val="both"/>
      </w:pPr>
      <w:r w:rsidRPr="007003B2">
        <w:rPr>
          <w:noProof/>
          <w:w w:val="100"/>
        </w:rPr>
        <mc:AlternateContent>
          <mc:Choice Requires="wps">
            <w:drawing>
              <wp:anchor distT="0" distB="0" distL="114300" distR="114300" simplePos="0" relativeHeight="251663360" behindDoc="0" locked="0" layoutInCell="1" allowOverlap="1" wp14:anchorId="7FAD064B" wp14:editId="2BD7609F">
                <wp:simplePos x="0" y="0"/>
                <wp:positionH relativeFrom="column">
                  <wp:posOffset>2669540</wp:posOffset>
                </wp:positionH>
                <wp:positionV relativeFrom="paragraph">
                  <wp:posOffset>304800</wp:posOffset>
                </wp:positionV>
                <wp:extent cx="9144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09429"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Co&#10;TfRG2QEAAAwEAAAOAAAAAAAAAAAAAAAAAC4CAABkcnMvZTJvRG9jLnhtbFBLAQItABQABgAIAAAA&#10;IQCFoHiC3wAAAAkBAAAPAAAAAAAAAAAAAAAAADMEAABkcnMvZG93bnJldi54bWxQSwUGAAAAAAQA&#10;BADzAAAAPwUAAAAA&#10;" strokecolor="#010000" strokeweight=".25pt"/>
            </w:pict>
          </mc:Fallback>
        </mc:AlternateContent>
      </w:r>
    </w:p>
    <w:p w14:paraId="53743DBF" w14:textId="77777777" w:rsidR="00EA185F" w:rsidRDefault="00EA185F"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p>
    <w:p w14:paraId="623BCFF7" w14:textId="2BA61A50" w:rsidR="00EA185F" w:rsidRDefault="00EA185F" w:rsidP="003F2E7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ind w:left="1267" w:hanging="1267"/>
        <w:jc w:val="both"/>
      </w:pPr>
    </w:p>
    <w:sectPr w:rsidR="00EA185F" w:rsidSect="004048B2">
      <w:endnotePr>
        <w:numFmt w:val="decimal"/>
      </w:endnotePr>
      <w:type w:val="continuous"/>
      <w:pgSz w:w="12240" w:h="15840"/>
      <w:pgMar w:top="1440" w:right="1195" w:bottom="1152" w:left="1195" w:header="432" w:footer="504"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Start" w:date="2021-04-27T12:47:00Z" w:initials="Start">
    <w:p w14:paraId="62405672" w14:textId="77777777" w:rsidR="00206464" w:rsidRDefault="00206464">
      <w:pPr>
        <w:pStyle w:val="CommentText"/>
      </w:pPr>
      <w:r>
        <w:rPr>
          <w:rStyle w:val="CommentReference"/>
        </w:rPr>
        <w:annotationRef/>
      </w:r>
      <w:r>
        <w:t>&lt;&lt;ODS JOB NO&gt;&gt;N2109363E&lt;&lt;ODS JOB NO&gt;&gt;</w:t>
      </w:r>
    </w:p>
    <w:p w14:paraId="59413CD6" w14:textId="77777777" w:rsidR="00206464" w:rsidRDefault="00206464">
      <w:pPr>
        <w:pStyle w:val="CommentText"/>
      </w:pPr>
      <w:r>
        <w:t>&lt;&lt;ODS DOC SYMBOL1&gt;&gt;A/76/6 (Sect. 15)&lt;&lt;ODS DOC SYMBOL1&gt;&gt;</w:t>
      </w:r>
    </w:p>
    <w:p w14:paraId="36C7CD63" w14:textId="77777777" w:rsidR="00206464" w:rsidRDefault="00206464">
      <w:pPr>
        <w:pStyle w:val="CommentText"/>
      </w:pPr>
      <w:r>
        <w:t>&lt;&lt;ODS DOC SYMBOL2&gt;&gt;&lt;&lt;ODS DOC SYMBOL2&gt;&gt;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C7CD6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2867E" w16cex:dateUtc="2021-04-27T16: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C7CD63" w16cid:durableId="2432867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85C699" w14:textId="77777777" w:rsidR="00035D4E" w:rsidRDefault="00035D4E" w:rsidP="00556720">
      <w:r>
        <w:separator/>
      </w:r>
    </w:p>
  </w:endnote>
  <w:endnote w:type="continuationSeparator" w:id="0">
    <w:p w14:paraId="224411BE" w14:textId="77777777" w:rsidR="00035D4E" w:rsidRDefault="00035D4E"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altName w:val="Cambria"/>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6464" w14:paraId="7E39F9E3" w14:textId="77777777" w:rsidTr="00715508">
      <w:tc>
        <w:tcPr>
          <w:tcW w:w="4920" w:type="dxa"/>
          <w:shd w:val="clear" w:color="auto" w:fill="auto"/>
        </w:tcPr>
        <w:p w14:paraId="3991829E" w14:textId="2625BDAE" w:rsidR="00206464" w:rsidRPr="00715508" w:rsidRDefault="00206464" w:rsidP="00715508">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6E83">
            <w:rPr>
              <w:b w:val="0"/>
              <w:w w:val="103"/>
              <w:sz w:val="14"/>
            </w:rPr>
            <w:t>21-05020</w:t>
          </w:r>
          <w:r>
            <w:rPr>
              <w:b w:val="0"/>
              <w:w w:val="103"/>
              <w:sz w:val="14"/>
            </w:rPr>
            <w:fldChar w:fldCharType="end"/>
          </w:r>
        </w:p>
      </w:tc>
      <w:tc>
        <w:tcPr>
          <w:tcW w:w="4920" w:type="dxa"/>
          <w:shd w:val="clear" w:color="auto" w:fill="auto"/>
        </w:tcPr>
        <w:p w14:paraId="1E4CAA9D" w14:textId="77777777" w:rsidR="00206464" w:rsidRPr="00715508" w:rsidRDefault="00206464" w:rsidP="00715508">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113463CB" w14:textId="77777777" w:rsidR="00206464" w:rsidRPr="00715508" w:rsidRDefault="00206464" w:rsidP="007155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6464" w14:paraId="4FD618D5" w14:textId="77777777" w:rsidTr="00715508">
      <w:tc>
        <w:tcPr>
          <w:tcW w:w="4920" w:type="dxa"/>
          <w:shd w:val="clear" w:color="auto" w:fill="auto"/>
        </w:tcPr>
        <w:p w14:paraId="6B226AEE" w14:textId="77777777" w:rsidR="00206464" w:rsidRPr="00715508" w:rsidRDefault="00206464" w:rsidP="00715508">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26D22A0" w14:textId="0FD96170" w:rsidR="00206464" w:rsidRPr="00715508" w:rsidRDefault="00206464" w:rsidP="00715508">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6E83">
            <w:rPr>
              <w:b w:val="0"/>
              <w:w w:val="103"/>
              <w:sz w:val="14"/>
            </w:rPr>
            <w:t>21-05020</w:t>
          </w:r>
          <w:r>
            <w:rPr>
              <w:b w:val="0"/>
              <w:w w:val="103"/>
              <w:sz w:val="14"/>
            </w:rPr>
            <w:fldChar w:fldCharType="end"/>
          </w:r>
        </w:p>
      </w:tc>
    </w:tr>
  </w:tbl>
  <w:p w14:paraId="638392DF" w14:textId="77777777" w:rsidR="00206464" w:rsidRPr="00715508" w:rsidRDefault="00206464" w:rsidP="007155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06464" w14:paraId="5DFCDE9F" w14:textId="77777777" w:rsidTr="00715508">
      <w:tc>
        <w:tcPr>
          <w:tcW w:w="3801" w:type="dxa"/>
        </w:tcPr>
        <w:p w14:paraId="163F5DB5" w14:textId="576A0E7E" w:rsidR="00206464" w:rsidRDefault="00206464" w:rsidP="00715508">
          <w:pPr>
            <w:pStyle w:val="ReleaseDate0"/>
          </w:pPr>
          <w:r>
            <w:rPr>
              <w:noProof/>
            </w:rPr>
            <w:drawing>
              <wp:anchor distT="0" distB="0" distL="114300" distR="114300" simplePos="0" relativeHeight="251658240" behindDoc="0" locked="0" layoutInCell="1" allowOverlap="1" wp14:anchorId="10F44DA1" wp14:editId="0752C746">
                <wp:simplePos x="0" y="0"/>
                <wp:positionH relativeFrom="column">
                  <wp:posOffset>5458460</wp:posOffset>
                </wp:positionH>
                <wp:positionV relativeFrom="paragraph">
                  <wp:posOffset>-365760</wp:posOffset>
                </wp:positionV>
                <wp:extent cx="694690" cy="6946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 xml:space="preserve">21-05020 (E)    210521    </w:t>
          </w:r>
        </w:p>
        <w:p w14:paraId="17FAA00E" w14:textId="77777777" w:rsidR="00206464" w:rsidRPr="00715508" w:rsidRDefault="00206464" w:rsidP="00715508">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*2105020*</w:t>
          </w:r>
        </w:p>
      </w:tc>
      <w:tc>
        <w:tcPr>
          <w:tcW w:w="4920" w:type="dxa"/>
        </w:tcPr>
        <w:p w14:paraId="04DAEE84" w14:textId="77777777" w:rsidR="00206464" w:rsidRDefault="00206464" w:rsidP="00715508">
          <w:pPr>
            <w:pStyle w:val="Footer"/>
            <w:jc w:val="right"/>
            <w:rPr>
              <w:b w:val="0"/>
              <w:sz w:val="20"/>
            </w:rPr>
          </w:pPr>
          <w:r>
            <w:rPr>
              <w:b w:val="0"/>
              <w:sz w:val="20"/>
            </w:rPr>
            <w:drawing>
              <wp:inline distT="0" distB="0" distL="0" distR="0" wp14:anchorId="0DB37B3C" wp14:editId="398B661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48F55B18" w14:textId="77777777" w:rsidR="00206464" w:rsidRPr="00715508" w:rsidRDefault="00206464" w:rsidP="00715508">
    <w:pPr>
      <w:pStyle w:val="Footer"/>
      <w:spacing w:line="56" w:lineRule="auto"/>
      <w:rPr>
        <w:b w:val="0"/>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06464" w14:paraId="2E74C1A6" w14:textId="77777777" w:rsidTr="0033759F">
      <w:tc>
        <w:tcPr>
          <w:tcW w:w="4920" w:type="dxa"/>
          <w:shd w:val="clear" w:color="auto" w:fill="auto"/>
        </w:tcPr>
        <w:p w14:paraId="55C2127C" w14:textId="04F2F19E" w:rsidR="00206464" w:rsidRPr="0033759F" w:rsidRDefault="00206464" w:rsidP="0033759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114C12AA" w14:textId="21282131" w:rsidR="00206464" w:rsidRPr="0033759F" w:rsidRDefault="00206464" w:rsidP="0033759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976E83">
            <w:rPr>
              <w:b w:val="0"/>
              <w:w w:val="103"/>
              <w:sz w:val="14"/>
            </w:rPr>
            <w:t>21-05020</w:t>
          </w:r>
          <w:r>
            <w:rPr>
              <w:b w:val="0"/>
              <w:w w:val="103"/>
              <w:sz w:val="14"/>
            </w:rPr>
            <w:fldChar w:fldCharType="end"/>
          </w:r>
        </w:p>
      </w:tc>
    </w:tr>
  </w:tbl>
  <w:p w14:paraId="43AF8982" w14:textId="77777777" w:rsidR="00206464" w:rsidRPr="0033759F" w:rsidRDefault="00206464" w:rsidP="00337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6BB2E" w14:textId="77777777" w:rsidR="00035D4E" w:rsidRPr="00D900EB" w:rsidRDefault="00035D4E" w:rsidP="00D900EB">
      <w:pPr>
        <w:pStyle w:val="Footer"/>
        <w:spacing w:after="80"/>
        <w:ind w:left="792"/>
        <w:rPr>
          <w:sz w:val="16"/>
        </w:rPr>
      </w:pPr>
      <w:r w:rsidRPr="00D900EB">
        <w:rPr>
          <w:sz w:val="16"/>
        </w:rPr>
        <w:t>__________________</w:t>
      </w:r>
    </w:p>
  </w:footnote>
  <w:footnote w:type="continuationSeparator" w:id="0">
    <w:p w14:paraId="1BA78DC4" w14:textId="77777777" w:rsidR="00035D4E" w:rsidRPr="00D900EB" w:rsidRDefault="00035D4E" w:rsidP="00D900EB">
      <w:pPr>
        <w:pStyle w:val="Footer"/>
        <w:spacing w:after="80"/>
        <w:ind w:left="792"/>
        <w:rPr>
          <w:sz w:val="16"/>
        </w:rPr>
      </w:pPr>
      <w:r w:rsidRPr="00D900EB">
        <w:rPr>
          <w:sz w:val="16"/>
        </w:rPr>
        <w:t>__________________</w:t>
      </w:r>
    </w:p>
  </w:footnote>
  <w:footnote w:id="1">
    <w:p w14:paraId="6C2F6D7C" w14:textId="3D659F2A" w:rsidR="00206464" w:rsidRPr="00D900EB" w:rsidRDefault="00206464" w:rsidP="00D900EB">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A53689">
          <w:rPr>
            <w:rStyle w:val="Hyperlink"/>
            <w:lang w:val="en-US"/>
          </w:rPr>
          <w:t>A/RES/69/283</w:t>
        </w:r>
      </w:hyperlink>
      <w:r w:rsidRPr="00D900EB">
        <w:rPr>
          <w:lang w:val="en-US"/>
        </w:rPr>
        <w:t xml:space="preserve"> Sendai Framework for Disaster Risk Reduction 2015–2030</w:t>
      </w:r>
      <w:r w:rsidRPr="00D900EB">
        <w:t>.</w:t>
      </w:r>
    </w:p>
  </w:footnote>
  <w:footnote w:id="2">
    <w:p w14:paraId="0C0A4AFB" w14:textId="7E97E83E" w:rsidR="00206464" w:rsidRPr="006F688E" w:rsidRDefault="00206464" w:rsidP="006F688E">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1A66A9">
        <w:t>As reflected in the proposed programme budget for 2020 (</w:t>
      </w:r>
      <w:hyperlink r:id="rId2" w:history="1">
        <w:r w:rsidRPr="00A53689">
          <w:rPr>
            <w:rStyle w:val="Hyperlink"/>
          </w:rPr>
          <w:t>A/74/6 (Sect. 15)</w:t>
        </w:r>
      </w:hyperlink>
      <w:r w:rsidRPr="001A66A9">
        <w:t>).</w:t>
      </w:r>
    </w:p>
  </w:footnote>
  <w:footnote w:id="3">
    <w:p w14:paraId="7CBD269C" w14:textId="24B5987F" w:rsidR="00206464" w:rsidRPr="00373502" w:rsidRDefault="00206464" w:rsidP="00373502">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73502">
        <w:t>As reflected in the programme budget for 2021 (</w:t>
      </w:r>
      <w:hyperlink r:id="rId3" w:history="1">
        <w:r w:rsidRPr="00A53689">
          <w:rPr>
            <w:rStyle w:val="Hyperlink"/>
          </w:rPr>
          <w:t>A/75/6/Add.1</w:t>
        </w:r>
      </w:hyperlink>
      <w:r w:rsidRPr="00373502">
        <w:t>).</w:t>
      </w:r>
    </w:p>
  </w:footnote>
  <w:footnote w:id="4">
    <w:p w14:paraId="58601F4B" w14:textId="65A81148" w:rsidR="00206464" w:rsidRPr="00DE59FF" w:rsidRDefault="00206464" w:rsidP="004205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654291">
        <w:t>As reflected in the proposed programme budget for 2020 (</w:t>
      </w:r>
      <w:hyperlink r:id="rId4" w:history="1">
        <w:r w:rsidRPr="005637E6">
          <w:rPr>
            <w:rStyle w:val="Hyperlink"/>
          </w:rPr>
          <w:t>A/74/6 (Sect. 15)</w:t>
        </w:r>
      </w:hyperlink>
      <w:r w:rsidRPr="00654291">
        <w:t>).</w:t>
      </w:r>
    </w:p>
  </w:footnote>
  <w:footnote w:id="5">
    <w:p w14:paraId="7A9D671F" w14:textId="7BABEC7E" w:rsidR="00206464" w:rsidRPr="00F4096D" w:rsidRDefault="00206464" w:rsidP="0042053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F4096D">
        <w:rPr>
          <w:bCs/>
        </w:rPr>
        <w:t>As reflected in the programme budget for 2021 (</w:t>
      </w:r>
      <w:hyperlink r:id="rId5" w:history="1">
        <w:r w:rsidRPr="005637E6">
          <w:rPr>
            <w:rStyle w:val="Hyperlink"/>
            <w:bCs/>
          </w:rPr>
          <w:t>A/75/6/Add.1</w:t>
        </w:r>
      </w:hyperlink>
      <w:r w:rsidRPr="00F4096D">
        <w:rPr>
          <w:bCs/>
        </w:rPr>
        <w:t>).</w:t>
      </w:r>
    </w:p>
  </w:footnote>
  <w:footnote w:id="6">
    <w:p w14:paraId="6D00DE92" w14:textId="0D9C88D9" w:rsidR="00206464" w:rsidRPr="00B64954" w:rsidRDefault="00206464" w:rsidP="00166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B64954">
        <w:t>As reflected in the proposed programme budget for 2020 (</w:t>
      </w:r>
      <w:hyperlink r:id="rId6" w:history="1">
        <w:r w:rsidRPr="005637E6">
          <w:rPr>
            <w:rStyle w:val="Hyperlink"/>
          </w:rPr>
          <w:t>A/75/6 (Sect.15)</w:t>
        </w:r>
      </w:hyperlink>
      <w:r w:rsidRPr="00B64954">
        <w:t>).</w:t>
      </w:r>
    </w:p>
  </w:footnote>
  <w:footnote w:id="7">
    <w:p w14:paraId="55676D51" w14:textId="493AB609" w:rsidR="00206464" w:rsidRPr="005354C3" w:rsidRDefault="00206464" w:rsidP="00166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354C3">
        <w:t>As reflected in the proposed programme budget for 2021 (</w:t>
      </w:r>
      <w:hyperlink r:id="rId7" w:history="1">
        <w:r w:rsidRPr="005637E6">
          <w:rPr>
            <w:rStyle w:val="Hyperlink"/>
          </w:rPr>
          <w:t>A/75/6 (Sect.15)</w:t>
        </w:r>
      </w:hyperlink>
      <w:r w:rsidRPr="005354C3">
        <w:t>).</w:t>
      </w:r>
    </w:p>
  </w:footnote>
  <w:footnote w:id="8">
    <w:p w14:paraId="33400D4E" w14:textId="6C6662DD" w:rsidR="00206464" w:rsidRPr="00555B02" w:rsidRDefault="00206464" w:rsidP="0016696A">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555B02">
        <w:t>As reflected in the proposed programme budget for 2020 (</w:t>
      </w:r>
      <w:hyperlink r:id="rId8" w:history="1">
        <w:r w:rsidRPr="005637E6">
          <w:rPr>
            <w:rStyle w:val="Hyperlink"/>
          </w:rPr>
          <w:t>A/74/6 (Sect. 15)</w:t>
        </w:r>
      </w:hyperlink>
      <w:r w:rsidRPr="00555B02">
        <w:t>).</w:t>
      </w:r>
    </w:p>
  </w:footnote>
  <w:footnote w:id="9">
    <w:p w14:paraId="0A7662C2" w14:textId="2EEBB232" w:rsidR="00206464" w:rsidRPr="00386963" w:rsidRDefault="00206464" w:rsidP="008A3FD9">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86963">
        <w:t>As reflected in the programme budget for 2021 (</w:t>
      </w:r>
      <w:hyperlink r:id="rId9" w:history="1">
        <w:r w:rsidRPr="00E96905">
          <w:rPr>
            <w:rStyle w:val="Hyperlink"/>
          </w:rPr>
          <w:t>A/75/6/Add.1</w:t>
        </w:r>
      </w:hyperlink>
      <w:r w:rsidRPr="00386963">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9850"/>
    </w:tblGrid>
    <w:tr w:rsidR="00206464" w14:paraId="4667A647" w14:textId="77777777" w:rsidTr="0033759F">
      <w:trPr>
        <w:trHeight w:hRule="exact" w:val="864"/>
      </w:trPr>
      <w:tc>
        <w:tcPr>
          <w:tcW w:w="9850" w:type="dxa"/>
          <w:tcBorders>
            <w:bottom w:val="single" w:sz="2" w:space="0" w:color="000000"/>
          </w:tcBorders>
          <w:shd w:val="clear" w:color="auto" w:fill="auto"/>
          <w:vAlign w:val="bottom"/>
        </w:tcPr>
        <w:p w14:paraId="3D321BF7" w14:textId="77777777" w:rsidR="00206464" w:rsidRDefault="00206464" w:rsidP="0033759F">
          <w:pPr>
            <w:pStyle w:val="Header"/>
            <w:spacing w:after="80"/>
          </w:pPr>
        </w:p>
      </w:tc>
    </w:tr>
  </w:tbl>
  <w:p w14:paraId="0B7F99D4" w14:textId="77777777" w:rsidR="00206464" w:rsidRPr="0033759F" w:rsidRDefault="00206464" w:rsidP="003375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9850"/>
    </w:tblGrid>
    <w:tr w:rsidR="00206464" w14:paraId="2469EA7F" w14:textId="77777777" w:rsidTr="0033759F">
      <w:trPr>
        <w:trHeight w:hRule="exact" w:val="864"/>
      </w:trPr>
      <w:tc>
        <w:tcPr>
          <w:tcW w:w="9850" w:type="dxa"/>
          <w:tcBorders>
            <w:bottom w:val="single" w:sz="2" w:space="0" w:color="000000"/>
          </w:tcBorders>
          <w:shd w:val="clear" w:color="auto" w:fill="auto"/>
          <w:vAlign w:val="bottom"/>
        </w:tcPr>
        <w:p w14:paraId="75D91790" w14:textId="77777777" w:rsidR="00206464" w:rsidRDefault="00206464" w:rsidP="0033759F">
          <w:pPr>
            <w:pStyle w:val="Header"/>
            <w:spacing w:after="80"/>
          </w:pPr>
        </w:p>
      </w:tc>
    </w:tr>
  </w:tbl>
  <w:p w14:paraId="51B12552" w14:textId="77777777" w:rsidR="00206464" w:rsidRPr="0033759F" w:rsidRDefault="00206464" w:rsidP="003375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06464" w14:paraId="59ECAF5A" w14:textId="77777777" w:rsidTr="00715508">
      <w:trPr>
        <w:trHeight w:hRule="exact" w:val="864"/>
      </w:trPr>
      <w:tc>
        <w:tcPr>
          <w:tcW w:w="1267" w:type="dxa"/>
          <w:tcBorders>
            <w:bottom w:val="single" w:sz="4" w:space="0" w:color="auto"/>
          </w:tcBorders>
          <w:shd w:val="clear" w:color="auto" w:fill="auto"/>
          <w:vAlign w:val="bottom"/>
        </w:tcPr>
        <w:p w14:paraId="0DC9C03F" w14:textId="77777777" w:rsidR="00206464" w:rsidRDefault="00206464" w:rsidP="00715508">
          <w:pPr>
            <w:pStyle w:val="Header"/>
            <w:spacing w:after="120"/>
          </w:pPr>
        </w:p>
      </w:tc>
      <w:tc>
        <w:tcPr>
          <w:tcW w:w="1872" w:type="dxa"/>
          <w:tcBorders>
            <w:bottom w:val="single" w:sz="4" w:space="0" w:color="auto"/>
          </w:tcBorders>
          <w:shd w:val="clear" w:color="auto" w:fill="auto"/>
          <w:vAlign w:val="bottom"/>
        </w:tcPr>
        <w:p w14:paraId="0FE0F84C" w14:textId="77777777" w:rsidR="00206464" w:rsidRPr="00715508" w:rsidRDefault="00206464" w:rsidP="00715508">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44A2330E" w14:textId="77777777" w:rsidR="00206464" w:rsidRDefault="00206464" w:rsidP="00715508">
          <w:pPr>
            <w:pStyle w:val="Header"/>
            <w:spacing w:after="120"/>
          </w:pPr>
        </w:p>
      </w:tc>
      <w:tc>
        <w:tcPr>
          <w:tcW w:w="6466" w:type="dxa"/>
          <w:gridSpan w:val="4"/>
          <w:tcBorders>
            <w:bottom w:val="single" w:sz="4" w:space="0" w:color="auto"/>
          </w:tcBorders>
          <w:shd w:val="clear" w:color="auto" w:fill="auto"/>
          <w:vAlign w:val="bottom"/>
        </w:tcPr>
        <w:p w14:paraId="1D8D89D0" w14:textId="77777777" w:rsidR="00206464" w:rsidRPr="00715508" w:rsidRDefault="00206464" w:rsidP="00715508">
          <w:pPr>
            <w:spacing w:after="80" w:line="240" w:lineRule="auto"/>
            <w:jc w:val="right"/>
            <w:rPr>
              <w:position w:val="-4"/>
            </w:rPr>
          </w:pPr>
          <w:r>
            <w:rPr>
              <w:position w:val="-4"/>
              <w:sz w:val="40"/>
            </w:rPr>
            <w:t>A</w:t>
          </w:r>
          <w:r>
            <w:rPr>
              <w:position w:val="-4"/>
            </w:rPr>
            <w:t>/76/6 (Sect. 15)</w:t>
          </w:r>
        </w:p>
      </w:tc>
    </w:tr>
    <w:tr w:rsidR="00206464" w:rsidRPr="00715508" w14:paraId="428BEA30" w14:textId="77777777" w:rsidTr="00715508">
      <w:trPr>
        <w:gridAfter w:val="1"/>
        <w:wAfter w:w="15" w:type="dxa"/>
        <w:trHeight w:hRule="exact" w:val="2880"/>
      </w:trPr>
      <w:tc>
        <w:tcPr>
          <w:tcW w:w="1267" w:type="dxa"/>
          <w:tcBorders>
            <w:top w:val="single" w:sz="4" w:space="0" w:color="auto"/>
            <w:bottom w:val="single" w:sz="12" w:space="0" w:color="auto"/>
          </w:tcBorders>
          <w:shd w:val="clear" w:color="auto" w:fill="auto"/>
        </w:tcPr>
        <w:p w14:paraId="680FF1C6" w14:textId="77777777" w:rsidR="00206464" w:rsidRPr="00715508" w:rsidRDefault="00206464" w:rsidP="00715508">
          <w:pPr>
            <w:pStyle w:val="Header"/>
            <w:spacing w:before="120"/>
            <w:jc w:val="center"/>
          </w:pPr>
          <w:r>
            <w:t xml:space="preserve"> </w:t>
          </w:r>
          <w:r>
            <w:drawing>
              <wp:inline distT="0" distB="0" distL="0" distR="0" wp14:anchorId="11EBC23D" wp14:editId="1C87632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46BB3037" w14:textId="77777777" w:rsidR="00206464" w:rsidRPr="00715508" w:rsidRDefault="00206464" w:rsidP="00715508">
          <w:pPr>
            <w:pStyle w:val="XLarge"/>
            <w:spacing w:before="109"/>
          </w:pPr>
          <w:r>
            <w:t>General Assembly</w:t>
          </w:r>
        </w:p>
      </w:tc>
      <w:tc>
        <w:tcPr>
          <w:tcW w:w="245" w:type="dxa"/>
          <w:tcBorders>
            <w:top w:val="single" w:sz="4" w:space="0" w:color="auto"/>
            <w:bottom w:val="single" w:sz="12" w:space="0" w:color="auto"/>
          </w:tcBorders>
          <w:shd w:val="clear" w:color="auto" w:fill="auto"/>
        </w:tcPr>
        <w:p w14:paraId="16358E6B" w14:textId="77777777" w:rsidR="00206464" w:rsidRPr="00715508" w:rsidRDefault="00206464" w:rsidP="00715508">
          <w:pPr>
            <w:pStyle w:val="Header"/>
            <w:spacing w:before="109"/>
          </w:pPr>
        </w:p>
      </w:tc>
      <w:tc>
        <w:tcPr>
          <w:tcW w:w="3096" w:type="dxa"/>
          <w:tcBorders>
            <w:top w:val="single" w:sz="4" w:space="0" w:color="auto"/>
            <w:bottom w:val="single" w:sz="12" w:space="0" w:color="auto"/>
          </w:tcBorders>
          <w:shd w:val="clear" w:color="auto" w:fill="auto"/>
        </w:tcPr>
        <w:p w14:paraId="1FA54995" w14:textId="77777777" w:rsidR="00206464" w:rsidRDefault="00206464" w:rsidP="00715508">
          <w:pPr>
            <w:pStyle w:val="Publication"/>
            <w:spacing w:before="240"/>
            <w:rPr>
              <w:color w:val="010000"/>
            </w:rPr>
          </w:pPr>
          <w:r>
            <w:rPr>
              <w:color w:val="010000"/>
            </w:rPr>
            <w:t>Distr.: General</w:t>
          </w:r>
        </w:p>
        <w:p w14:paraId="2304A123" w14:textId="77777777" w:rsidR="00206464" w:rsidRDefault="00206464" w:rsidP="00715508">
          <w:r>
            <w:t>15 April 2021</w:t>
          </w:r>
        </w:p>
        <w:p w14:paraId="03A6848D" w14:textId="5D92C324" w:rsidR="00206464" w:rsidRDefault="00206464" w:rsidP="00715508"/>
        <w:p w14:paraId="2637B79E" w14:textId="77777777" w:rsidR="00206464" w:rsidRPr="00715508" w:rsidRDefault="00206464" w:rsidP="00715508">
          <w:r>
            <w:t>Original: English</w:t>
          </w:r>
        </w:p>
      </w:tc>
    </w:tr>
  </w:tbl>
  <w:p w14:paraId="0CA3F959" w14:textId="77777777" w:rsidR="00206464" w:rsidRPr="00715508" w:rsidRDefault="00206464" w:rsidP="00715508">
    <w:pPr>
      <w:pStyle w:val="Header"/>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9850"/>
    </w:tblGrid>
    <w:tr w:rsidR="00206464" w14:paraId="5D20153A" w14:textId="77777777" w:rsidTr="0033759F">
      <w:trPr>
        <w:trHeight w:hRule="exact" w:val="864"/>
      </w:trPr>
      <w:tc>
        <w:tcPr>
          <w:tcW w:w="9850" w:type="dxa"/>
          <w:tcBorders>
            <w:bottom w:val="single" w:sz="2" w:space="0" w:color="000000"/>
          </w:tcBorders>
          <w:shd w:val="clear" w:color="auto" w:fill="auto"/>
          <w:vAlign w:val="bottom"/>
        </w:tcPr>
        <w:p w14:paraId="288DA5D8" w14:textId="1DCE7435" w:rsidR="00206464" w:rsidRPr="0033759F" w:rsidRDefault="00206464" w:rsidP="0033759F">
          <w:pPr>
            <w:pStyle w:val="Header"/>
            <w:tabs>
              <w:tab w:val="clear" w:pos="4320"/>
              <w:tab w:val="clear" w:pos="8640"/>
              <w:tab w:val="left" w:pos="1267"/>
            </w:tabs>
            <w:spacing w:after="80"/>
            <w:ind w:left="1267" w:right="1267" w:hanging="1267"/>
          </w:pPr>
          <w:r>
            <w:rPr>
              <w:b/>
            </w:rPr>
            <w:t>Part IV</w:t>
          </w:r>
          <w:r>
            <w:rPr>
              <w:b/>
            </w:rPr>
            <w:tab/>
            <w:t>International cooperation for development</w:t>
          </w:r>
        </w:p>
      </w:tc>
    </w:tr>
  </w:tbl>
  <w:p w14:paraId="32DB3008" w14:textId="77777777" w:rsidR="00206464" w:rsidRPr="0033759F" w:rsidRDefault="00206464" w:rsidP="0033759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9850"/>
    </w:tblGrid>
    <w:tr w:rsidR="00206464" w14:paraId="697C204D" w14:textId="77777777" w:rsidTr="0033759F">
      <w:trPr>
        <w:trHeight w:hRule="exact" w:val="864"/>
      </w:trPr>
      <w:tc>
        <w:tcPr>
          <w:tcW w:w="9850" w:type="dxa"/>
          <w:tcBorders>
            <w:bottom w:val="single" w:sz="2" w:space="0" w:color="000000"/>
          </w:tcBorders>
          <w:shd w:val="clear" w:color="auto" w:fill="auto"/>
          <w:vAlign w:val="bottom"/>
        </w:tcPr>
        <w:p w14:paraId="26FD964F" w14:textId="696461FF" w:rsidR="00206464" w:rsidRPr="0033759F" w:rsidRDefault="00206464" w:rsidP="0033759F">
          <w:pPr>
            <w:pStyle w:val="Header"/>
            <w:tabs>
              <w:tab w:val="clear" w:pos="4320"/>
              <w:tab w:val="clear" w:pos="8640"/>
              <w:tab w:val="left" w:pos="1267"/>
            </w:tabs>
            <w:spacing w:after="80"/>
            <w:rPr>
              <w:b/>
            </w:rPr>
          </w:pPr>
          <w:r>
            <w:rPr>
              <w:b/>
            </w:rPr>
            <w:t>Section 15</w:t>
          </w:r>
          <w:r>
            <w:rPr>
              <w:b/>
            </w:rPr>
            <w:tab/>
            <w:t>Human settlements</w:t>
          </w:r>
        </w:p>
      </w:tc>
    </w:tr>
  </w:tbl>
  <w:p w14:paraId="59F00E60" w14:textId="77777777" w:rsidR="00206464" w:rsidRPr="0033759F" w:rsidRDefault="00206464" w:rsidP="0033759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9850"/>
    </w:tblGrid>
    <w:tr w:rsidR="00206464" w14:paraId="75C98087" w14:textId="77777777" w:rsidTr="0033759F">
      <w:trPr>
        <w:trHeight w:hRule="exact" w:val="864"/>
      </w:trPr>
      <w:tc>
        <w:tcPr>
          <w:tcW w:w="9850" w:type="dxa"/>
          <w:tcBorders>
            <w:bottom w:val="single" w:sz="2" w:space="0" w:color="000000"/>
          </w:tcBorders>
          <w:shd w:val="clear" w:color="auto" w:fill="auto"/>
          <w:vAlign w:val="bottom"/>
        </w:tcPr>
        <w:p w14:paraId="26787266" w14:textId="77777777" w:rsidR="00206464" w:rsidRDefault="00206464" w:rsidP="0033759F">
          <w:pPr>
            <w:pStyle w:val="Header"/>
            <w:spacing w:after="80"/>
          </w:pPr>
        </w:p>
      </w:tc>
    </w:tr>
  </w:tbl>
  <w:p w14:paraId="3D8313D1" w14:textId="77777777" w:rsidR="00206464" w:rsidRPr="0033759F" w:rsidRDefault="00206464" w:rsidP="003375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3CF67BCD"/>
    <w:multiLevelType w:val="hybridMultilevel"/>
    <w:tmpl w:val="EC76035E"/>
    <w:name w:val="TOC32"/>
    <w:lvl w:ilvl="0" w:tplc="04090015">
      <w:start w:val="1"/>
      <w:numFmt w:val="upperLetter"/>
      <w:lvlText w:val="%1."/>
      <w:lvlJc w:val="left"/>
      <w:pPr>
        <w:ind w:left="2218" w:hanging="360"/>
      </w:pPr>
    </w:lvl>
    <w:lvl w:ilvl="1" w:tplc="08090019" w:tentative="1">
      <w:start w:val="1"/>
      <w:numFmt w:val="lowerLetter"/>
      <w:lvlText w:val="%2."/>
      <w:lvlJc w:val="left"/>
      <w:pPr>
        <w:ind w:left="2938" w:hanging="360"/>
      </w:pPr>
    </w:lvl>
    <w:lvl w:ilvl="2" w:tplc="0809001B" w:tentative="1">
      <w:start w:val="1"/>
      <w:numFmt w:val="lowerRoman"/>
      <w:lvlText w:val="%3."/>
      <w:lvlJc w:val="right"/>
      <w:pPr>
        <w:ind w:left="3658" w:hanging="180"/>
      </w:pPr>
    </w:lvl>
    <w:lvl w:ilvl="3" w:tplc="0809000F" w:tentative="1">
      <w:start w:val="1"/>
      <w:numFmt w:val="decimal"/>
      <w:lvlText w:val="%4."/>
      <w:lvlJc w:val="left"/>
      <w:pPr>
        <w:ind w:left="4378" w:hanging="360"/>
      </w:pPr>
    </w:lvl>
    <w:lvl w:ilvl="4" w:tplc="08090019" w:tentative="1">
      <w:start w:val="1"/>
      <w:numFmt w:val="lowerLetter"/>
      <w:lvlText w:val="%5."/>
      <w:lvlJc w:val="left"/>
      <w:pPr>
        <w:ind w:left="5098" w:hanging="360"/>
      </w:pPr>
    </w:lvl>
    <w:lvl w:ilvl="5" w:tplc="0809001B" w:tentative="1">
      <w:start w:val="1"/>
      <w:numFmt w:val="lowerRoman"/>
      <w:lvlText w:val="%6."/>
      <w:lvlJc w:val="right"/>
      <w:pPr>
        <w:ind w:left="5818" w:hanging="180"/>
      </w:pPr>
    </w:lvl>
    <w:lvl w:ilvl="6" w:tplc="0809000F" w:tentative="1">
      <w:start w:val="1"/>
      <w:numFmt w:val="decimal"/>
      <w:lvlText w:val="%7."/>
      <w:lvlJc w:val="left"/>
      <w:pPr>
        <w:ind w:left="6538" w:hanging="360"/>
      </w:pPr>
    </w:lvl>
    <w:lvl w:ilvl="7" w:tplc="08090019" w:tentative="1">
      <w:start w:val="1"/>
      <w:numFmt w:val="lowerLetter"/>
      <w:lvlText w:val="%8."/>
      <w:lvlJc w:val="left"/>
      <w:pPr>
        <w:ind w:left="7258" w:hanging="360"/>
      </w:pPr>
    </w:lvl>
    <w:lvl w:ilvl="8" w:tplc="0809001B" w:tentative="1">
      <w:start w:val="1"/>
      <w:numFmt w:val="lowerRoman"/>
      <w:lvlText w:val="%9."/>
      <w:lvlJc w:val="right"/>
      <w:pPr>
        <w:ind w:left="7978" w:hanging="180"/>
      </w:pPr>
    </w:lvl>
  </w:abstractNum>
  <w:abstractNum w:abstractNumId="3" w15:restartNumberingAfterBreak="0">
    <w:nsid w:val="487D192F"/>
    <w:multiLevelType w:val="hybridMultilevel"/>
    <w:tmpl w:val="FFFFFFFF"/>
    <w:lvl w:ilvl="0" w:tplc="8F2AAF4E">
      <w:start w:val="1"/>
      <w:numFmt w:val="decimal"/>
      <w:lvlText w:val="%1."/>
      <w:lvlJc w:val="left"/>
      <w:pPr>
        <w:ind w:left="720" w:hanging="360"/>
      </w:pPr>
    </w:lvl>
    <w:lvl w:ilvl="1" w:tplc="C34A8900">
      <w:start w:val="1"/>
      <w:numFmt w:val="lowerLetter"/>
      <w:lvlText w:val="%2."/>
      <w:lvlJc w:val="left"/>
      <w:pPr>
        <w:ind w:left="1440" w:hanging="360"/>
      </w:pPr>
    </w:lvl>
    <w:lvl w:ilvl="2" w:tplc="51EA171C">
      <w:start w:val="1"/>
      <w:numFmt w:val="lowerRoman"/>
      <w:lvlText w:val="%3."/>
      <w:lvlJc w:val="right"/>
      <w:pPr>
        <w:ind w:left="2160" w:hanging="180"/>
      </w:pPr>
    </w:lvl>
    <w:lvl w:ilvl="3" w:tplc="E9B0A932">
      <w:start w:val="1"/>
      <w:numFmt w:val="decimal"/>
      <w:lvlText w:val="%4."/>
      <w:lvlJc w:val="left"/>
      <w:pPr>
        <w:ind w:left="2880" w:hanging="360"/>
      </w:pPr>
    </w:lvl>
    <w:lvl w:ilvl="4" w:tplc="8F78581A">
      <w:start w:val="1"/>
      <w:numFmt w:val="lowerLetter"/>
      <w:lvlText w:val="%5."/>
      <w:lvlJc w:val="left"/>
      <w:pPr>
        <w:ind w:left="3600" w:hanging="360"/>
      </w:pPr>
    </w:lvl>
    <w:lvl w:ilvl="5" w:tplc="5862FBA0">
      <w:start w:val="1"/>
      <w:numFmt w:val="lowerRoman"/>
      <w:lvlText w:val="%6."/>
      <w:lvlJc w:val="right"/>
      <w:pPr>
        <w:ind w:left="4320" w:hanging="180"/>
      </w:pPr>
    </w:lvl>
    <w:lvl w:ilvl="6" w:tplc="E140EA4E">
      <w:start w:val="1"/>
      <w:numFmt w:val="decimal"/>
      <w:lvlText w:val="%7."/>
      <w:lvlJc w:val="left"/>
      <w:pPr>
        <w:ind w:left="5040" w:hanging="360"/>
      </w:pPr>
    </w:lvl>
    <w:lvl w:ilvl="7" w:tplc="326E2AA2">
      <w:start w:val="1"/>
      <w:numFmt w:val="lowerLetter"/>
      <w:lvlText w:val="%8."/>
      <w:lvlJc w:val="left"/>
      <w:pPr>
        <w:ind w:left="5760" w:hanging="360"/>
      </w:pPr>
    </w:lvl>
    <w:lvl w:ilvl="8" w:tplc="CDD4F602">
      <w:start w:val="1"/>
      <w:numFmt w:val="lowerRoman"/>
      <w:lvlText w:val="%9."/>
      <w:lvlJc w:val="right"/>
      <w:pPr>
        <w:ind w:left="6480" w:hanging="180"/>
      </w:pPr>
    </w:lvl>
  </w:abstractNum>
  <w:abstractNum w:abstractNumId="4"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5" w15:restartNumberingAfterBreak="0">
    <w:nsid w:val="4DA86F75"/>
    <w:multiLevelType w:val="hybridMultilevel"/>
    <w:tmpl w:val="A4E0C860"/>
    <w:lvl w:ilvl="0" w:tplc="A8C640A6">
      <w:start w:val="1"/>
      <w:numFmt w:val="decimal"/>
      <w:lvlText w:val="15.%1"/>
      <w:lvlJc w:val="left"/>
      <w:pPr>
        <w:ind w:left="810" w:hanging="360"/>
      </w:pPr>
      <w:rPr>
        <w:rFonts w:asciiTheme="majorBidi" w:hAnsiTheme="majorBidi" w:cstheme="majorBidi" w:hint="default"/>
        <w:b w:val="0"/>
        <w:bCs w:val="0"/>
        <w:i w:val="0"/>
        <w:iCs w:val="0"/>
        <w:strike w:val="0"/>
        <w:color w:val="000000" w:themeColor="text1"/>
        <w:w w:val="100"/>
        <w:sz w:val="20"/>
        <w:szCs w:val="20"/>
        <w:u w:val="no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4E055BE3"/>
    <w:multiLevelType w:val="multilevel"/>
    <w:tmpl w:val="90A244FE"/>
    <w:lvl w:ilvl="0">
      <w:start w:val="1"/>
      <w:numFmt w:val="upperRoman"/>
      <w:lvlText w:val="%1."/>
      <w:lvlJc w:val="right"/>
      <w:pPr>
        <w:tabs>
          <w:tab w:val="num" w:pos="1872"/>
        </w:tabs>
        <w:ind w:left="1296" w:firstLine="576"/>
      </w:pPr>
      <w:rPr>
        <w:rFonts w:hint="default"/>
      </w:rPr>
    </w:lvl>
    <w:lvl w:ilvl="1">
      <w:start w:val="1"/>
      <w:numFmt w:val="upperRoman"/>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7"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8" w15:restartNumberingAfterBreak="0">
    <w:nsid w:val="6DE83D40"/>
    <w:multiLevelType w:val="hybridMultilevel"/>
    <w:tmpl w:val="FFFFFFFF"/>
    <w:lvl w:ilvl="0" w:tplc="E4486230">
      <w:start w:val="1"/>
      <w:numFmt w:val="decimal"/>
      <w:lvlText w:val="%1."/>
      <w:lvlJc w:val="left"/>
      <w:pPr>
        <w:ind w:left="720" w:hanging="360"/>
      </w:pPr>
    </w:lvl>
    <w:lvl w:ilvl="1" w:tplc="50344F46">
      <w:start w:val="1"/>
      <w:numFmt w:val="lowerLetter"/>
      <w:lvlText w:val="%2."/>
      <w:lvlJc w:val="left"/>
      <w:pPr>
        <w:ind w:left="1440" w:hanging="360"/>
      </w:pPr>
    </w:lvl>
    <w:lvl w:ilvl="2" w:tplc="BFE43E22">
      <w:start w:val="1"/>
      <w:numFmt w:val="lowerRoman"/>
      <w:lvlText w:val="%3."/>
      <w:lvlJc w:val="right"/>
      <w:pPr>
        <w:ind w:left="2160" w:hanging="180"/>
      </w:pPr>
    </w:lvl>
    <w:lvl w:ilvl="3" w:tplc="08923C42">
      <w:start w:val="1"/>
      <w:numFmt w:val="decimal"/>
      <w:lvlText w:val="%4."/>
      <w:lvlJc w:val="left"/>
      <w:pPr>
        <w:ind w:left="2880" w:hanging="360"/>
      </w:pPr>
    </w:lvl>
    <w:lvl w:ilvl="4" w:tplc="15E41158">
      <w:start w:val="1"/>
      <w:numFmt w:val="lowerLetter"/>
      <w:lvlText w:val="%5."/>
      <w:lvlJc w:val="left"/>
      <w:pPr>
        <w:ind w:left="3600" w:hanging="360"/>
      </w:pPr>
    </w:lvl>
    <w:lvl w:ilvl="5" w:tplc="B3A68636">
      <w:start w:val="1"/>
      <w:numFmt w:val="lowerRoman"/>
      <w:lvlText w:val="%6."/>
      <w:lvlJc w:val="right"/>
      <w:pPr>
        <w:ind w:left="4320" w:hanging="180"/>
      </w:pPr>
    </w:lvl>
    <w:lvl w:ilvl="6" w:tplc="3D4A9F12">
      <w:start w:val="1"/>
      <w:numFmt w:val="decimal"/>
      <w:lvlText w:val="%7."/>
      <w:lvlJc w:val="left"/>
      <w:pPr>
        <w:ind w:left="5040" w:hanging="360"/>
      </w:pPr>
    </w:lvl>
    <w:lvl w:ilvl="7" w:tplc="049EA270">
      <w:start w:val="1"/>
      <w:numFmt w:val="lowerLetter"/>
      <w:lvlText w:val="%8."/>
      <w:lvlJc w:val="left"/>
      <w:pPr>
        <w:ind w:left="5760" w:hanging="360"/>
      </w:pPr>
    </w:lvl>
    <w:lvl w:ilvl="8" w:tplc="2A989794">
      <w:start w:val="1"/>
      <w:numFmt w:val="lowerRoman"/>
      <w:lvlText w:val="%9."/>
      <w:lvlJc w:val="right"/>
      <w:pPr>
        <w:ind w:left="6480" w:hanging="180"/>
      </w:pPr>
    </w:lvl>
  </w:abstractNum>
  <w:abstractNum w:abstractNumId="9" w15:restartNumberingAfterBreak="0">
    <w:nsid w:val="74B06655"/>
    <w:multiLevelType w:val="multilevel"/>
    <w:tmpl w:val="8E1AFE3C"/>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768B04DD"/>
    <w:multiLevelType w:val="multilevel"/>
    <w:tmpl w:val="4B849508"/>
    <w:lvl w:ilvl="0">
      <w:start w:val="1"/>
      <w:numFmt w:val="upperLetter"/>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7A526233"/>
    <w:multiLevelType w:val="multilevel"/>
    <w:tmpl w:val="AFAAC0B8"/>
    <w:lvl w:ilvl="0">
      <w:start w:val="1"/>
      <w:numFmt w:val="upperRoman"/>
      <w:lvlText w:val="%1."/>
      <w:lvlJc w:val="right"/>
      <w:pPr>
        <w:tabs>
          <w:tab w:val="num" w:pos="1512"/>
        </w:tabs>
        <w:ind w:left="1296" w:firstLine="202"/>
      </w:pPr>
      <w:rPr>
        <w:rFonts w:hint="default"/>
      </w:rPr>
    </w:lvl>
    <w:lvl w:ilvl="1">
      <w:start w:val="1"/>
      <w:numFmt w:val="upperRoman"/>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15:restartNumberingAfterBreak="0">
    <w:nsid w:val="7FE428FD"/>
    <w:multiLevelType w:val="hybridMultilevel"/>
    <w:tmpl w:val="D2A837C8"/>
    <w:lvl w:ilvl="0" w:tplc="FFFFFFFF">
      <w:start w:val="1"/>
      <w:numFmt w:val="upperLetter"/>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1"/>
  </w:num>
  <w:num w:numId="5">
    <w:abstractNumId w:val="7"/>
  </w:num>
  <w:num w:numId="6">
    <w:abstractNumId w:val="1"/>
  </w:num>
  <w:num w:numId="7">
    <w:abstractNumId w:val="7"/>
  </w:num>
  <w:num w:numId="8">
    <w:abstractNumId w:val="1"/>
  </w:num>
  <w:num w:numId="9">
    <w:abstractNumId w:val="7"/>
  </w:num>
  <w:num w:numId="10">
    <w:abstractNumId w:val="1"/>
  </w:num>
  <w:num w:numId="11">
    <w:abstractNumId w:val="7"/>
  </w:num>
  <w:num w:numId="12">
    <w:abstractNumId w:val="0"/>
  </w:num>
  <w:num w:numId="13">
    <w:abstractNumId w:val="1"/>
  </w:num>
  <w:num w:numId="14">
    <w:abstractNumId w:val="4"/>
  </w:num>
  <w:num w:numId="15">
    <w:abstractNumId w:val="7"/>
  </w:num>
  <w:num w:numId="16">
    <w:abstractNumId w:val="0"/>
  </w:num>
  <w:num w:numId="17">
    <w:abstractNumId w:val="1"/>
  </w:num>
  <w:num w:numId="18">
    <w:abstractNumId w:val="4"/>
  </w:num>
  <w:num w:numId="19">
    <w:abstractNumId w:val="7"/>
  </w:num>
  <w:num w:numId="20">
    <w:abstractNumId w:val="1"/>
  </w:num>
  <w:num w:numId="21">
    <w:abstractNumId w:val="7"/>
  </w:num>
  <w:num w:numId="22">
    <w:abstractNumId w:val="1"/>
  </w:num>
  <w:num w:numId="23">
    <w:abstractNumId w:val="7"/>
  </w:num>
  <w:num w:numId="24">
    <w:abstractNumId w:val="1"/>
  </w:num>
  <w:num w:numId="25">
    <w:abstractNumId w:val="9"/>
  </w:num>
  <w:num w:numId="26">
    <w:abstractNumId w:val="11"/>
  </w:num>
  <w:num w:numId="27">
    <w:abstractNumId w:val="10"/>
  </w:num>
  <w:num w:numId="28">
    <w:abstractNumId w:val="6"/>
  </w:num>
  <w:num w:numId="29">
    <w:abstractNumId w:val="12"/>
  </w:num>
  <w:num w:numId="30">
    <w:abstractNumId w:val="5"/>
  </w:num>
  <w:num w:numId="31">
    <w:abstractNumId w:val="2"/>
  </w:num>
  <w:num w:numId="32">
    <w:abstractNumId w:val="3"/>
  </w:num>
  <w:num w:numId="3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4097"/>
  </w:hdrShapeDefaults>
  <w:footnotePr>
    <w:footnote w:id="-1"/>
    <w:footnote w:id="0"/>
  </w:footnotePr>
  <w:endnotePr>
    <w:pos w:val="sectEnd"/>
    <w:numFmt w:val="decimal"/>
    <w:endnote w:id="-1"/>
    <w:endnote w:id="0"/>
  </w:endnotePr>
  <w:compat>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2105020*"/>
    <w:docVar w:name="CreationDt" w:val="4/27/2021 12:47 PM"/>
    <w:docVar w:name="DocCategory" w:val="Doc"/>
    <w:docVar w:name="DocType" w:val="Final"/>
    <w:docVar w:name="DutyStation" w:val="New York"/>
    <w:docVar w:name="FooterJN" w:val="21-05020"/>
    <w:docVar w:name="jobn" w:val="21-05020 (E)"/>
    <w:docVar w:name="jobnDT" w:val="21-05020 (E)   270421"/>
    <w:docVar w:name="jobnDTDT" w:val="21-05020 (E)   270421   270421"/>
    <w:docVar w:name="JobNo" w:val="2105020E"/>
    <w:docVar w:name="JobNo2" w:val="2109363E"/>
    <w:docVar w:name="LocalDrive" w:val="-1"/>
    <w:docVar w:name="OandT" w:val=" "/>
    <w:docVar w:name="sss1" w:val="A/76/6 (Sect. 15)"/>
    <w:docVar w:name="sss2" w:val="-"/>
    <w:docVar w:name="Symbol1" w:val="A/76/6 (Sect. 15)"/>
    <w:docVar w:name="Symbol2" w:val="-"/>
  </w:docVars>
  <w:rsids>
    <w:rsidRoot w:val="000E4091"/>
    <w:rsid w:val="00004931"/>
    <w:rsid w:val="000065AA"/>
    <w:rsid w:val="00006F7C"/>
    <w:rsid w:val="00012805"/>
    <w:rsid w:val="0001325F"/>
    <w:rsid w:val="00016B80"/>
    <w:rsid w:val="00017FCF"/>
    <w:rsid w:val="00024D1E"/>
    <w:rsid w:val="00035D4E"/>
    <w:rsid w:val="000408AB"/>
    <w:rsid w:val="00057674"/>
    <w:rsid w:val="000B3288"/>
    <w:rsid w:val="000B5AFB"/>
    <w:rsid w:val="000C4C9C"/>
    <w:rsid w:val="000E4091"/>
    <w:rsid w:val="0010501C"/>
    <w:rsid w:val="0011766D"/>
    <w:rsid w:val="00134A90"/>
    <w:rsid w:val="0014139E"/>
    <w:rsid w:val="001425AC"/>
    <w:rsid w:val="0016696A"/>
    <w:rsid w:val="001863EA"/>
    <w:rsid w:val="001A207A"/>
    <w:rsid w:val="001A66A9"/>
    <w:rsid w:val="001B7A02"/>
    <w:rsid w:val="001C22A4"/>
    <w:rsid w:val="001C66B8"/>
    <w:rsid w:val="001D79B0"/>
    <w:rsid w:val="001E4C14"/>
    <w:rsid w:val="002007C7"/>
    <w:rsid w:val="00200F9C"/>
    <w:rsid w:val="00201732"/>
    <w:rsid w:val="002027AF"/>
    <w:rsid w:val="00202BBA"/>
    <w:rsid w:val="00204267"/>
    <w:rsid w:val="00206464"/>
    <w:rsid w:val="00214645"/>
    <w:rsid w:val="0022712B"/>
    <w:rsid w:val="0024425A"/>
    <w:rsid w:val="002602D3"/>
    <w:rsid w:val="002706A2"/>
    <w:rsid w:val="0029701C"/>
    <w:rsid w:val="002A388A"/>
    <w:rsid w:val="002A4E53"/>
    <w:rsid w:val="002C633D"/>
    <w:rsid w:val="002D4D92"/>
    <w:rsid w:val="002D5AB8"/>
    <w:rsid w:val="002E09A8"/>
    <w:rsid w:val="002E3089"/>
    <w:rsid w:val="00300B6A"/>
    <w:rsid w:val="00313CD7"/>
    <w:rsid w:val="0033759F"/>
    <w:rsid w:val="00346E64"/>
    <w:rsid w:val="00352E46"/>
    <w:rsid w:val="00360798"/>
    <w:rsid w:val="00364582"/>
    <w:rsid w:val="00371A3B"/>
    <w:rsid w:val="00373502"/>
    <w:rsid w:val="003A0A16"/>
    <w:rsid w:val="003A3325"/>
    <w:rsid w:val="003A53B3"/>
    <w:rsid w:val="003C6D13"/>
    <w:rsid w:val="003D159A"/>
    <w:rsid w:val="003D39CA"/>
    <w:rsid w:val="003E3B08"/>
    <w:rsid w:val="003E723B"/>
    <w:rsid w:val="003F219A"/>
    <w:rsid w:val="003F25BA"/>
    <w:rsid w:val="003F2E7C"/>
    <w:rsid w:val="003F3418"/>
    <w:rsid w:val="004048B2"/>
    <w:rsid w:val="0042053A"/>
    <w:rsid w:val="0044179B"/>
    <w:rsid w:val="00465BFD"/>
    <w:rsid w:val="004856CD"/>
    <w:rsid w:val="00492ED8"/>
    <w:rsid w:val="004A199E"/>
    <w:rsid w:val="004A6554"/>
    <w:rsid w:val="004A66E2"/>
    <w:rsid w:val="004B0B18"/>
    <w:rsid w:val="004B4C46"/>
    <w:rsid w:val="004D17DB"/>
    <w:rsid w:val="00525648"/>
    <w:rsid w:val="005328F2"/>
    <w:rsid w:val="0054091E"/>
    <w:rsid w:val="00556720"/>
    <w:rsid w:val="00564E7E"/>
    <w:rsid w:val="00570B35"/>
    <w:rsid w:val="005B0896"/>
    <w:rsid w:val="005B2CC1"/>
    <w:rsid w:val="005C49C8"/>
    <w:rsid w:val="005F2D17"/>
    <w:rsid w:val="005F2F1C"/>
    <w:rsid w:val="00612565"/>
    <w:rsid w:val="006137E4"/>
    <w:rsid w:val="006352AC"/>
    <w:rsid w:val="00636929"/>
    <w:rsid w:val="0064252E"/>
    <w:rsid w:val="006442DD"/>
    <w:rsid w:val="00651750"/>
    <w:rsid w:val="006653CD"/>
    <w:rsid w:val="00674235"/>
    <w:rsid w:val="00674BD1"/>
    <w:rsid w:val="006875B4"/>
    <w:rsid w:val="006A45EB"/>
    <w:rsid w:val="006A5AFE"/>
    <w:rsid w:val="006D6278"/>
    <w:rsid w:val="006E19F3"/>
    <w:rsid w:val="006E2FA3"/>
    <w:rsid w:val="006E4FA6"/>
    <w:rsid w:val="006F01E4"/>
    <w:rsid w:val="006F0EAC"/>
    <w:rsid w:val="006F688E"/>
    <w:rsid w:val="00707CAD"/>
    <w:rsid w:val="00715508"/>
    <w:rsid w:val="00735BAC"/>
    <w:rsid w:val="00747697"/>
    <w:rsid w:val="00764DD9"/>
    <w:rsid w:val="00777887"/>
    <w:rsid w:val="0078207D"/>
    <w:rsid w:val="007909EC"/>
    <w:rsid w:val="007A4C14"/>
    <w:rsid w:val="007A620C"/>
    <w:rsid w:val="007B3563"/>
    <w:rsid w:val="007B5582"/>
    <w:rsid w:val="007C43D4"/>
    <w:rsid w:val="007E79B9"/>
    <w:rsid w:val="007F1EE6"/>
    <w:rsid w:val="008007D3"/>
    <w:rsid w:val="00811400"/>
    <w:rsid w:val="00846D29"/>
    <w:rsid w:val="00855FFA"/>
    <w:rsid w:val="008723C3"/>
    <w:rsid w:val="008879E6"/>
    <w:rsid w:val="00890662"/>
    <w:rsid w:val="0089085F"/>
    <w:rsid w:val="008A156F"/>
    <w:rsid w:val="008A3FD9"/>
    <w:rsid w:val="008C5C1D"/>
    <w:rsid w:val="008E1861"/>
    <w:rsid w:val="008F1C5D"/>
    <w:rsid w:val="00914824"/>
    <w:rsid w:val="00947922"/>
    <w:rsid w:val="009517EC"/>
    <w:rsid w:val="00976E83"/>
    <w:rsid w:val="009A66CB"/>
    <w:rsid w:val="009E1969"/>
    <w:rsid w:val="009E21C8"/>
    <w:rsid w:val="009E6057"/>
    <w:rsid w:val="00A000F9"/>
    <w:rsid w:val="00A20AC0"/>
    <w:rsid w:val="00A30DCB"/>
    <w:rsid w:val="00A315C9"/>
    <w:rsid w:val="00A53689"/>
    <w:rsid w:val="00A67B69"/>
    <w:rsid w:val="00A73452"/>
    <w:rsid w:val="00A81678"/>
    <w:rsid w:val="00A919CD"/>
    <w:rsid w:val="00A93A73"/>
    <w:rsid w:val="00AA2E74"/>
    <w:rsid w:val="00AA31F4"/>
    <w:rsid w:val="00AB2BAB"/>
    <w:rsid w:val="00AC617F"/>
    <w:rsid w:val="00AD3919"/>
    <w:rsid w:val="00AE72A3"/>
    <w:rsid w:val="00B27E2C"/>
    <w:rsid w:val="00B40842"/>
    <w:rsid w:val="00B4471C"/>
    <w:rsid w:val="00BA0CE6"/>
    <w:rsid w:val="00BA666B"/>
    <w:rsid w:val="00BA7A9B"/>
    <w:rsid w:val="00BB5C7D"/>
    <w:rsid w:val="00BC38D1"/>
    <w:rsid w:val="00BD029A"/>
    <w:rsid w:val="00BE196B"/>
    <w:rsid w:val="00BF5B27"/>
    <w:rsid w:val="00BF6BE0"/>
    <w:rsid w:val="00C2020B"/>
    <w:rsid w:val="00C57302"/>
    <w:rsid w:val="00C75D17"/>
    <w:rsid w:val="00C779E4"/>
    <w:rsid w:val="00C9756E"/>
    <w:rsid w:val="00CD4AC4"/>
    <w:rsid w:val="00D526E8"/>
    <w:rsid w:val="00D66755"/>
    <w:rsid w:val="00D73C2D"/>
    <w:rsid w:val="00D85B7D"/>
    <w:rsid w:val="00D900EB"/>
    <w:rsid w:val="00D91828"/>
    <w:rsid w:val="00D94A42"/>
    <w:rsid w:val="00D971BA"/>
    <w:rsid w:val="00DC7B16"/>
    <w:rsid w:val="00DD42F7"/>
    <w:rsid w:val="00E60554"/>
    <w:rsid w:val="00E870C2"/>
    <w:rsid w:val="00E931B8"/>
    <w:rsid w:val="00EA185F"/>
    <w:rsid w:val="00EB2D8C"/>
    <w:rsid w:val="00ED42F5"/>
    <w:rsid w:val="00ED5AA7"/>
    <w:rsid w:val="00EE1F5F"/>
    <w:rsid w:val="00EF59C0"/>
    <w:rsid w:val="00EF5A7F"/>
    <w:rsid w:val="00F27BF6"/>
    <w:rsid w:val="00F30184"/>
    <w:rsid w:val="00F34FB4"/>
    <w:rsid w:val="00F360F4"/>
    <w:rsid w:val="00F50EAC"/>
    <w:rsid w:val="00F5593E"/>
    <w:rsid w:val="00F62CD3"/>
    <w:rsid w:val="00F7600D"/>
    <w:rsid w:val="00F8600E"/>
    <w:rsid w:val="00F94BC6"/>
    <w:rsid w:val="00FB29AC"/>
    <w:rsid w:val="00FC49F5"/>
    <w:rsid w:val="00FE7916"/>
    <w:rsid w:val="00FF15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3D96504"/>
  <w15:chartTrackingRefBased/>
  <w15:docId w15:val="{CB85815E-58D8-4288-BBA8-82EE3F14D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388A"/>
    <w:pPr>
      <w:suppressAutoHyphens/>
      <w:spacing w:after="0" w:line="240" w:lineRule="exact"/>
    </w:pPr>
    <w:rPr>
      <w:rFonts w:ascii="Times New Roman"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3A0A16"/>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3A0A16"/>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3A0A16"/>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3A0A16"/>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3A0A16"/>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3A0A16"/>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3A0A16"/>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3A0A16"/>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3A0A16"/>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3A0A1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link w:val="H1Char"/>
    <w:qFormat/>
    <w:rsid w:val="002A38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2A388A"/>
    <w:pPr>
      <w:spacing w:line="300" w:lineRule="exact"/>
      <w:ind w:left="0" w:right="0" w:firstLine="0"/>
    </w:pPr>
    <w:rPr>
      <w:spacing w:val="-2"/>
      <w:sz w:val="28"/>
    </w:rPr>
  </w:style>
  <w:style w:type="paragraph" w:customStyle="1" w:styleId="HM">
    <w:name w:val="_ H __M"/>
    <w:basedOn w:val="HCh"/>
    <w:next w:val="Normal"/>
    <w:rsid w:val="002A388A"/>
    <w:pPr>
      <w:spacing w:line="360" w:lineRule="exact"/>
    </w:pPr>
    <w:rPr>
      <w:spacing w:val="-3"/>
      <w:w w:val="99"/>
      <w:sz w:val="34"/>
    </w:rPr>
  </w:style>
  <w:style w:type="paragraph" w:customStyle="1" w:styleId="H23">
    <w:name w:val="_ H_2/3"/>
    <w:basedOn w:val="Normal"/>
    <w:next w:val="SingleTxt"/>
    <w:link w:val="H23Char"/>
    <w:rsid w:val="002A388A"/>
    <w:pPr>
      <w:outlineLvl w:val="1"/>
    </w:pPr>
    <w:rPr>
      <w:b/>
      <w:lang w:val="en-US"/>
    </w:rPr>
  </w:style>
  <w:style w:type="paragraph" w:customStyle="1" w:styleId="H4">
    <w:name w:val="_ H_4"/>
    <w:basedOn w:val="Normal"/>
    <w:next w:val="SingleTxt"/>
    <w:rsid w:val="002A38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2A388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2A388A"/>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2A388A"/>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2A388A"/>
    <w:pPr>
      <w:spacing w:line="540" w:lineRule="exact"/>
    </w:pPr>
    <w:rPr>
      <w:spacing w:val="-8"/>
      <w:w w:val="96"/>
      <w:sz w:val="57"/>
    </w:rPr>
  </w:style>
  <w:style w:type="paragraph" w:customStyle="1" w:styleId="SS">
    <w:name w:val="__S_S"/>
    <w:basedOn w:val="HCh"/>
    <w:next w:val="Normal"/>
    <w:rsid w:val="002A388A"/>
    <w:pPr>
      <w:ind w:left="1267" w:right="1267"/>
    </w:pPr>
  </w:style>
  <w:style w:type="paragraph" w:customStyle="1" w:styleId="SingleTxt">
    <w:name w:val="__Single Txt"/>
    <w:basedOn w:val="Normal"/>
    <w:link w:val="SingleTxtChar"/>
    <w:qFormat/>
    <w:rsid w:val="002A388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2A388A"/>
    <w:pPr>
      <w:spacing w:after="0" w:line="240" w:lineRule="exact"/>
    </w:pPr>
    <w:rPr>
      <w:rFonts w:ascii="Times New Roman" w:hAnsi="Times New Roman" w:cs="Times New Roman"/>
      <w:spacing w:val="4"/>
      <w:w w:val="103"/>
      <w:kern w:val="14"/>
      <w:sz w:val="20"/>
      <w:szCs w:val="20"/>
      <w:lang w:eastAsia="en-US"/>
    </w:rPr>
  </w:style>
  <w:style w:type="paragraph" w:customStyle="1" w:styleId="TitleH1">
    <w:name w:val="Title_H1"/>
    <w:basedOn w:val="Normal"/>
    <w:next w:val="Normal"/>
    <w:qFormat/>
    <w:rsid w:val="002A388A"/>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2A388A"/>
    <w:pPr>
      <w:spacing w:line="240" w:lineRule="exact"/>
      <w:ind w:left="0" w:right="5040" w:firstLine="0"/>
      <w:outlineLvl w:val="1"/>
    </w:pPr>
    <w:rPr>
      <w:sz w:val="20"/>
    </w:rPr>
  </w:style>
  <w:style w:type="paragraph" w:styleId="BalloonText">
    <w:name w:val="Balloon Text"/>
    <w:basedOn w:val="Normal"/>
    <w:link w:val="BalloonTextChar"/>
    <w:semiHidden/>
    <w:rsid w:val="002A388A"/>
    <w:rPr>
      <w:rFonts w:ascii="Tahoma" w:hAnsi="Tahoma" w:cs="Tahoma"/>
      <w:sz w:val="16"/>
      <w:szCs w:val="16"/>
    </w:rPr>
  </w:style>
  <w:style w:type="character" w:customStyle="1" w:styleId="BalloonTextChar">
    <w:name w:val="Balloon Text Char"/>
    <w:basedOn w:val="DefaultParagraphFont"/>
    <w:link w:val="BalloonText"/>
    <w:semiHidden/>
    <w:rsid w:val="002A388A"/>
    <w:rPr>
      <w:rFonts w:ascii="Tahoma" w:hAnsi="Tahoma" w:cs="Tahoma"/>
      <w:spacing w:val="4"/>
      <w:w w:val="103"/>
      <w:kern w:val="14"/>
      <w:sz w:val="16"/>
      <w:szCs w:val="16"/>
      <w:lang w:eastAsia="en-US"/>
    </w:rPr>
  </w:style>
  <w:style w:type="paragraph" w:customStyle="1" w:styleId="Bullet1">
    <w:name w:val="Bullet 1"/>
    <w:basedOn w:val="Normal"/>
    <w:qFormat/>
    <w:rsid w:val="002A388A"/>
    <w:pPr>
      <w:numPr>
        <w:numId w:val="23"/>
      </w:numPr>
      <w:spacing w:after="120" w:line="240" w:lineRule="atLeast"/>
      <w:ind w:right="1267"/>
      <w:jc w:val="both"/>
    </w:pPr>
  </w:style>
  <w:style w:type="paragraph" w:customStyle="1" w:styleId="Bullet2">
    <w:name w:val="Bullet 2"/>
    <w:basedOn w:val="Normal"/>
    <w:qFormat/>
    <w:rsid w:val="003A0A16"/>
    <w:pPr>
      <w:numPr>
        <w:numId w:val="16"/>
      </w:numPr>
      <w:spacing w:after="120"/>
      <w:ind w:right="1264"/>
      <w:jc w:val="both"/>
    </w:pPr>
  </w:style>
  <w:style w:type="paragraph" w:customStyle="1" w:styleId="Bullet3">
    <w:name w:val="Bullet 3"/>
    <w:basedOn w:val="SingleTxt"/>
    <w:qFormat/>
    <w:rsid w:val="002A388A"/>
    <w:pPr>
      <w:numPr>
        <w:numId w:val="2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3A0A16"/>
    <w:pPr>
      <w:spacing w:line="240" w:lineRule="auto"/>
    </w:pPr>
    <w:rPr>
      <w:b/>
      <w:bCs/>
      <w:color w:val="4F81BD"/>
      <w:sz w:val="18"/>
      <w:szCs w:val="18"/>
    </w:rPr>
  </w:style>
  <w:style w:type="character" w:styleId="CommentReference">
    <w:name w:val="annotation reference"/>
    <w:uiPriority w:val="99"/>
    <w:rsid w:val="002A388A"/>
    <w:rPr>
      <w:sz w:val="6"/>
    </w:rPr>
  </w:style>
  <w:style w:type="paragraph" w:customStyle="1" w:styleId="Distribution">
    <w:name w:val="Distribution"/>
    <w:next w:val="Normal"/>
    <w:rsid w:val="002A388A"/>
    <w:pPr>
      <w:spacing w:before="240" w:after="0" w:line="240" w:lineRule="auto"/>
    </w:pPr>
    <w:rPr>
      <w:rFonts w:ascii="Times New Roman" w:hAnsi="Times New Roman" w:cs="Times New Roman"/>
      <w:spacing w:val="4"/>
      <w:w w:val="103"/>
      <w:kern w:val="14"/>
      <w:sz w:val="20"/>
      <w:szCs w:val="20"/>
      <w:lang w:eastAsia="en-US"/>
    </w:rPr>
  </w:style>
  <w:style w:type="character" w:styleId="EndnoteReference">
    <w:name w:val="endnote reference"/>
    <w:semiHidden/>
    <w:rsid w:val="002A388A"/>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2A388A"/>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2A388A"/>
    <w:rPr>
      <w:rFonts w:ascii="Times New Roman" w:hAnsi="Times New Roman" w:cs="Times New Roman"/>
      <w:spacing w:val="5"/>
      <w:w w:val="103"/>
      <w:kern w:val="14"/>
      <w:sz w:val="17"/>
      <w:szCs w:val="20"/>
      <w:lang w:eastAsia="en-US"/>
    </w:rPr>
  </w:style>
  <w:style w:type="paragraph" w:styleId="EndnoteText">
    <w:name w:val="endnote text"/>
    <w:basedOn w:val="FootnoteText"/>
    <w:link w:val="EndnoteTextChar"/>
    <w:semiHidden/>
    <w:rsid w:val="002A388A"/>
  </w:style>
  <w:style w:type="character" w:customStyle="1" w:styleId="EndnoteTextChar">
    <w:name w:val="Endnote Text Char"/>
    <w:basedOn w:val="DefaultParagraphFont"/>
    <w:link w:val="EndnoteText"/>
    <w:semiHidden/>
    <w:rsid w:val="002A388A"/>
    <w:rPr>
      <w:rFonts w:ascii="Times New Roman" w:hAnsi="Times New Roman" w:cs="Times New Roman"/>
      <w:spacing w:val="5"/>
      <w:w w:val="103"/>
      <w:kern w:val="14"/>
      <w:sz w:val="17"/>
      <w:szCs w:val="20"/>
      <w:lang w:eastAsia="en-US"/>
    </w:rPr>
  </w:style>
  <w:style w:type="paragraph" w:styleId="Footer">
    <w:name w:val="footer"/>
    <w:link w:val="FooterChar"/>
    <w:rsid w:val="002A388A"/>
    <w:pPr>
      <w:tabs>
        <w:tab w:val="center" w:pos="4320"/>
        <w:tab w:val="right" w:pos="8640"/>
      </w:tabs>
      <w:spacing w:after="0" w:line="240" w:lineRule="auto"/>
    </w:pPr>
    <w:rPr>
      <w:rFonts w:ascii="Times New Roman" w:hAnsi="Times New Roman" w:cs="Times New Roman"/>
      <w:b/>
      <w:noProof/>
      <w:sz w:val="17"/>
      <w:szCs w:val="20"/>
      <w:lang w:val="en-US" w:eastAsia="en-US"/>
    </w:rPr>
  </w:style>
  <w:style w:type="character" w:customStyle="1" w:styleId="FooterChar">
    <w:name w:val="Footer Char"/>
    <w:basedOn w:val="DefaultParagraphFont"/>
    <w:link w:val="Footer"/>
    <w:rsid w:val="002A388A"/>
    <w:rPr>
      <w:rFonts w:ascii="Times New Roman" w:hAnsi="Times New Roman" w:cs="Times New Roman"/>
      <w:b/>
      <w:noProof/>
      <w:sz w:val="17"/>
      <w:szCs w:val="20"/>
      <w:lang w:val="en-US" w:eastAsia="en-US"/>
    </w:rPr>
  </w:style>
  <w:style w:type="character" w:styleId="FootnoteReference">
    <w:name w:val="footnote reference"/>
    <w:semiHidden/>
    <w:rsid w:val="002A388A"/>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3A0A16"/>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3A0A16"/>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3A0A16"/>
    <w:pPr>
      <w:spacing w:before="240"/>
    </w:pPr>
    <w:rPr>
      <w:b/>
      <w:spacing w:val="-2"/>
      <w:w w:val="100"/>
    </w:rPr>
  </w:style>
  <w:style w:type="paragraph" w:customStyle="1" w:styleId="HdChapterBdLg">
    <w:name w:val="Hd Chapter Bd Lg"/>
    <w:basedOn w:val="HdChapterBD"/>
    <w:next w:val="Normal"/>
    <w:qFormat/>
    <w:rsid w:val="003A0A16"/>
    <w:rPr>
      <w:spacing w:val="-3"/>
      <w:w w:val="99"/>
      <w:kern w:val="14"/>
      <w:sz w:val="34"/>
      <w:szCs w:val="34"/>
    </w:rPr>
  </w:style>
  <w:style w:type="paragraph" w:styleId="Header">
    <w:name w:val="header"/>
    <w:link w:val="HeaderChar"/>
    <w:rsid w:val="002A388A"/>
    <w:pPr>
      <w:tabs>
        <w:tab w:val="center" w:pos="4320"/>
        <w:tab w:val="right" w:pos="8640"/>
      </w:tabs>
      <w:spacing w:after="0" w:line="240" w:lineRule="auto"/>
    </w:pPr>
    <w:rPr>
      <w:rFonts w:ascii="Times New Roman" w:hAnsi="Times New Roman" w:cs="Times New Roman"/>
      <w:noProof/>
      <w:sz w:val="17"/>
      <w:szCs w:val="20"/>
      <w:lang w:val="en-US" w:eastAsia="en-US"/>
    </w:rPr>
  </w:style>
  <w:style w:type="character" w:customStyle="1" w:styleId="HeaderChar">
    <w:name w:val="Header Char"/>
    <w:basedOn w:val="DefaultParagraphFont"/>
    <w:link w:val="Header"/>
    <w:rsid w:val="002A388A"/>
    <w:rPr>
      <w:rFonts w:ascii="Times New Roman" w:hAnsi="Times New Roman" w:cs="Times New Roman"/>
      <w:noProof/>
      <w:sz w:val="17"/>
      <w:szCs w:val="20"/>
      <w:lang w:val="en-US" w:eastAsia="en-US"/>
    </w:rPr>
  </w:style>
  <w:style w:type="character" w:customStyle="1" w:styleId="Heading1Char">
    <w:name w:val="Heading 1 Char"/>
    <w:link w:val="Heading1"/>
    <w:uiPriority w:val="9"/>
    <w:rsid w:val="003A0A16"/>
    <w:rPr>
      <w:rFonts w:ascii="Arial" w:eastAsia="Times New Roman" w:hAnsi="Arial" w:cs="Times New Roman"/>
      <w:b/>
      <w:bCs/>
      <w:spacing w:val="4"/>
      <w:w w:val="103"/>
      <w:kern w:val="32"/>
      <w:sz w:val="32"/>
      <w:szCs w:val="28"/>
      <w:lang w:eastAsia="en-US"/>
    </w:rPr>
  </w:style>
  <w:style w:type="character" w:customStyle="1" w:styleId="Heading2Char">
    <w:name w:val="Heading 2 Char"/>
    <w:link w:val="Heading2"/>
    <w:uiPriority w:val="9"/>
    <w:rsid w:val="003A0A16"/>
    <w:rPr>
      <w:rFonts w:ascii="Arial" w:eastAsia="Times New Roman" w:hAnsi="Arial" w:cs="Times New Roman"/>
      <w:b/>
      <w:bCs/>
      <w:i/>
      <w:spacing w:val="4"/>
      <w:w w:val="103"/>
      <w:kern w:val="14"/>
      <w:sz w:val="28"/>
      <w:szCs w:val="26"/>
      <w:lang w:eastAsia="en-US"/>
    </w:rPr>
  </w:style>
  <w:style w:type="character" w:customStyle="1" w:styleId="Heading3Char">
    <w:name w:val="Heading 3 Char"/>
    <w:link w:val="Heading3"/>
    <w:uiPriority w:val="9"/>
    <w:rsid w:val="003A0A16"/>
    <w:rPr>
      <w:rFonts w:ascii="Arial" w:eastAsia="Times New Roman" w:hAnsi="Arial" w:cs="Times New Roman"/>
      <w:b/>
      <w:bCs/>
      <w:spacing w:val="4"/>
      <w:w w:val="103"/>
      <w:kern w:val="14"/>
      <w:sz w:val="26"/>
      <w:szCs w:val="20"/>
      <w:lang w:eastAsia="en-US"/>
    </w:rPr>
  </w:style>
  <w:style w:type="character" w:customStyle="1" w:styleId="Heading4Char">
    <w:name w:val="Heading 4 Char"/>
    <w:link w:val="Heading4"/>
    <w:uiPriority w:val="9"/>
    <w:semiHidden/>
    <w:rsid w:val="003A0A16"/>
    <w:rPr>
      <w:rFonts w:ascii="Cambria" w:eastAsia="Times New Roman" w:hAnsi="Cambria" w:cs="Times New Roman"/>
      <w:b/>
      <w:bCs/>
      <w:i/>
      <w:iCs/>
      <w:spacing w:val="4"/>
      <w:w w:val="103"/>
      <w:kern w:val="14"/>
      <w:sz w:val="20"/>
      <w:szCs w:val="20"/>
      <w:lang w:eastAsia="en-US"/>
    </w:rPr>
  </w:style>
  <w:style w:type="character" w:customStyle="1" w:styleId="Heading5Char">
    <w:name w:val="Heading 5 Char"/>
    <w:link w:val="Heading5"/>
    <w:uiPriority w:val="9"/>
    <w:semiHidden/>
    <w:rsid w:val="003A0A16"/>
    <w:rPr>
      <w:rFonts w:ascii="Cambria" w:eastAsia="Times New Roman" w:hAnsi="Cambria" w:cs="Times New Roman"/>
      <w:b/>
      <w:bCs/>
      <w:color w:val="7F7F7F"/>
      <w:spacing w:val="4"/>
      <w:w w:val="103"/>
      <w:kern w:val="14"/>
      <w:sz w:val="20"/>
      <w:szCs w:val="20"/>
      <w:lang w:eastAsia="en-US"/>
    </w:rPr>
  </w:style>
  <w:style w:type="character" w:customStyle="1" w:styleId="Heading6Char">
    <w:name w:val="Heading 6 Char"/>
    <w:link w:val="Heading6"/>
    <w:uiPriority w:val="9"/>
    <w:semiHidden/>
    <w:rsid w:val="003A0A16"/>
    <w:rPr>
      <w:rFonts w:ascii="Cambria" w:eastAsia="Times New Roman" w:hAnsi="Cambria" w:cs="Times New Roman"/>
      <w:b/>
      <w:bCs/>
      <w:i/>
      <w:iCs/>
      <w:color w:val="7F7F7F"/>
      <w:spacing w:val="4"/>
      <w:w w:val="103"/>
      <w:kern w:val="14"/>
      <w:sz w:val="20"/>
      <w:szCs w:val="20"/>
      <w:lang w:eastAsia="en-US"/>
    </w:rPr>
  </w:style>
  <w:style w:type="character" w:customStyle="1" w:styleId="Heading7Char">
    <w:name w:val="Heading 7 Char"/>
    <w:link w:val="Heading7"/>
    <w:uiPriority w:val="9"/>
    <w:semiHidden/>
    <w:rsid w:val="003A0A16"/>
    <w:rPr>
      <w:rFonts w:ascii="Cambria" w:eastAsia="Times New Roman" w:hAnsi="Cambria" w:cs="Times New Roman"/>
      <w:i/>
      <w:iCs/>
      <w:spacing w:val="4"/>
      <w:w w:val="103"/>
      <w:kern w:val="14"/>
      <w:sz w:val="20"/>
      <w:szCs w:val="20"/>
      <w:lang w:eastAsia="en-US"/>
    </w:rPr>
  </w:style>
  <w:style w:type="character" w:customStyle="1" w:styleId="Heading8Char">
    <w:name w:val="Heading 8 Char"/>
    <w:link w:val="Heading8"/>
    <w:uiPriority w:val="9"/>
    <w:semiHidden/>
    <w:rsid w:val="003A0A16"/>
    <w:rPr>
      <w:rFonts w:ascii="Cambria" w:eastAsia="Times New Roman" w:hAnsi="Cambria" w:cs="Times New Roman"/>
      <w:spacing w:val="4"/>
      <w:w w:val="103"/>
      <w:kern w:val="14"/>
      <w:sz w:val="20"/>
      <w:szCs w:val="20"/>
      <w:lang w:eastAsia="en-US"/>
    </w:rPr>
  </w:style>
  <w:style w:type="character" w:customStyle="1" w:styleId="Heading9Char">
    <w:name w:val="Heading 9 Char"/>
    <w:link w:val="Heading9"/>
    <w:uiPriority w:val="9"/>
    <w:semiHidden/>
    <w:rsid w:val="003A0A16"/>
    <w:rPr>
      <w:rFonts w:ascii="Cambria" w:eastAsia="Times New Roman" w:hAnsi="Cambria" w:cs="Times New Roman"/>
      <w:i/>
      <w:iCs/>
      <w:spacing w:val="5"/>
      <w:w w:val="103"/>
      <w:kern w:val="14"/>
      <w:sz w:val="20"/>
      <w:szCs w:val="20"/>
      <w:lang w:eastAsia="en-US"/>
    </w:rPr>
  </w:style>
  <w:style w:type="paragraph" w:customStyle="1" w:styleId="JournalHeading1">
    <w:name w:val="Journal_Heading1"/>
    <w:basedOn w:val="Normal"/>
    <w:next w:val="Normal"/>
    <w:qFormat/>
    <w:rsid w:val="003A0A16"/>
    <w:pPr>
      <w:keepNext/>
      <w:spacing w:before="190" w:line="270" w:lineRule="exact"/>
    </w:pPr>
    <w:rPr>
      <w:b/>
      <w:sz w:val="24"/>
    </w:rPr>
  </w:style>
  <w:style w:type="paragraph" w:customStyle="1" w:styleId="JournalHeading2">
    <w:name w:val="Journal_Heading2"/>
    <w:basedOn w:val="Normal"/>
    <w:next w:val="Normal"/>
    <w:qFormat/>
    <w:rsid w:val="003A0A16"/>
    <w:pPr>
      <w:keepNext/>
      <w:keepLines/>
      <w:spacing w:before="240"/>
      <w:outlineLvl w:val="1"/>
    </w:pPr>
    <w:rPr>
      <w:b/>
      <w:spacing w:val="2"/>
    </w:rPr>
  </w:style>
  <w:style w:type="paragraph" w:customStyle="1" w:styleId="JournalHeading4">
    <w:name w:val="Journal_Heading4"/>
    <w:basedOn w:val="Normal"/>
    <w:next w:val="Normal"/>
    <w:qFormat/>
    <w:rsid w:val="003A0A16"/>
    <w:pPr>
      <w:keepNext/>
      <w:keepLines/>
      <w:spacing w:before="240"/>
      <w:outlineLvl w:val="3"/>
    </w:pPr>
    <w:rPr>
      <w:i/>
    </w:rPr>
  </w:style>
  <w:style w:type="character" w:styleId="LineNumber">
    <w:name w:val="line number"/>
    <w:rsid w:val="002A388A"/>
    <w:rPr>
      <w:sz w:val="14"/>
    </w:rPr>
  </w:style>
  <w:style w:type="paragraph" w:styleId="NoSpacing">
    <w:name w:val="No Spacing"/>
    <w:basedOn w:val="Normal"/>
    <w:uiPriority w:val="1"/>
    <w:rsid w:val="003A0A16"/>
    <w:pPr>
      <w:spacing w:line="240" w:lineRule="auto"/>
    </w:pPr>
  </w:style>
  <w:style w:type="paragraph" w:customStyle="1" w:styleId="NormalBullet">
    <w:name w:val="Normal Bullet"/>
    <w:basedOn w:val="Normal"/>
    <w:next w:val="Normal"/>
    <w:qFormat/>
    <w:rsid w:val="003A0A16"/>
    <w:pPr>
      <w:keepLines/>
      <w:numPr>
        <w:numId w:val="18"/>
      </w:numPr>
      <w:tabs>
        <w:tab w:val="left" w:pos="2218"/>
      </w:tabs>
      <w:spacing w:before="40" w:after="80"/>
      <w:ind w:right="302"/>
    </w:pPr>
  </w:style>
  <w:style w:type="paragraph" w:customStyle="1" w:styleId="NormalSchedule">
    <w:name w:val="Normal Schedule"/>
    <w:basedOn w:val="Normal"/>
    <w:next w:val="Normal"/>
    <w:qFormat/>
    <w:rsid w:val="003A0A16"/>
    <w:pPr>
      <w:tabs>
        <w:tab w:val="left" w:leader="dot" w:pos="2218"/>
        <w:tab w:val="left" w:pos="2707"/>
        <w:tab w:val="right" w:leader="dot" w:pos="9835"/>
      </w:tabs>
    </w:pPr>
  </w:style>
  <w:style w:type="paragraph" w:customStyle="1" w:styleId="Original">
    <w:name w:val="Original"/>
    <w:next w:val="Normal"/>
    <w:rsid w:val="002A388A"/>
    <w:pPr>
      <w:spacing w:after="0" w:line="240" w:lineRule="auto"/>
    </w:pPr>
    <w:rPr>
      <w:rFonts w:ascii="Times New Roman" w:hAnsi="Times New Roman" w:cs="Times New Roman"/>
      <w:spacing w:val="4"/>
      <w:w w:val="103"/>
      <w:kern w:val="14"/>
      <w:sz w:val="20"/>
      <w:szCs w:val="20"/>
      <w:lang w:eastAsia="en-US"/>
    </w:rPr>
  </w:style>
  <w:style w:type="paragraph" w:customStyle="1" w:styleId="Publication">
    <w:name w:val="Publication"/>
    <w:next w:val="Normal"/>
    <w:rsid w:val="002A388A"/>
    <w:pPr>
      <w:spacing w:after="0" w:line="240" w:lineRule="auto"/>
    </w:pPr>
    <w:rPr>
      <w:rFonts w:ascii="Times New Roman" w:hAnsi="Times New Roman" w:cs="Times New Roman"/>
      <w:spacing w:val="4"/>
      <w:w w:val="103"/>
      <w:kern w:val="14"/>
      <w:sz w:val="20"/>
      <w:szCs w:val="20"/>
      <w:lang w:eastAsia="en-US"/>
    </w:rPr>
  </w:style>
  <w:style w:type="paragraph" w:customStyle="1" w:styleId="ReleaseDate">
    <w:name w:val="ReleaseDate"/>
    <w:next w:val="Footer"/>
    <w:autoRedefine/>
    <w:qFormat/>
    <w:rsid w:val="003A0A16"/>
    <w:pPr>
      <w:spacing w:after="0" w:line="240" w:lineRule="auto"/>
    </w:pPr>
    <w:rPr>
      <w:rFonts w:ascii="Times New Roman" w:hAnsi="Times New Roman" w:cs="Times New Roman"/>
      <w:spacing w:val="4"/>
      <w:w w:val="103"/>
      <w:sz w:val="20"/>
      <w:lang w:val="es-ES" w:eastAsia="en-US"/>
    </w:rPr>
  </w:style>
  <w:style w:type="paragraph" w:customStyle="1" w:styleId="Small">
    <w:name w:val="Small"/>
    <w:basedOn w:val="Normal"/>
    <w:next w:val="Normal"/>
    <w:rsid w:val="002A388A"/>
    <w:pPr>
      <w:tabs>
        <w:tab w:val="right" w:pos="9965"/>
      </w:tabs>
      <w:spacing w:line="210" w:lineRule="exact"/>
    </w:pPr>
    <w:rPr>
      <w:spacing w:val="5"/>
      <w:w w:val="104"/>
      <w:sz w:val="17"/>
    </w:rPr>
  </w:style>
  <w:style w:type="paragraph" w:customStyle="1" w:styleId="SmallX">
    <w:name w:val="SmallX"/>
    <w:basedOn w:val="Small"/>
    <w:next w:val="Normal"/>
    <w:rsid w:val="002A388A"/>
    <w:pPr>
      <w:spacing w:line="180" w:lineRule="exact"/>
      <w:jc w:val="right"/>
    </w:pPr>
    <w:rPr>
      <w:spacing w:val="6"/>
      <w:w w:val="106"/>
      <w:sz w:val="14"/>
    </w:rPr>
  </w:style>
  <w:style w:type="paragraph" w:customStyle="1" w:styleId="TitleHCH">
    <w:name w:val="Title_H_CH"/>
    <w:basedOn w:val="H1"/>
    <w:next w:val="Normal"/>
    <w:qFormat/>
    <w:rsid w:val="002A388A"/>
    <w:pPr>
      <w:spacing w:line="300" w:lineRule="exact"/>
      <w:ind w:left="0" w:right="0" w:firstLine="0"/>
    </w:pPr>
    <w:rPr>
      <w:spacing w:val="-2"/>
      <w:sz w:val="28"/>
    </w:rPr>
  </w:style>
  <w:style w:type="paragraph" w:customStyle="1" w:styleId="TitleH2">
    <w:name w:val="Title_H2"/>
    <w:basedOn w:val="Normal"/>
    <w:next w:val="Normal"/>
    <w:qFormat/>
    <w:rsid w:val="002A388A"/>
    <w:pPr>
      <w:outlineLvl w:val="1"/>
    </w:pPr>
    <w:rPr>
      <w:b/>
    </w:rPr>
  </w:style>
  <w:style w:type="paragraph" w:styleId="TOCHeading">
    <w:name w:val="TOC Heading"/>
    <w:basedOn w:val="Heading1"/>
    <w:next w:val="Normal"/>
    <w:uiPriority w:val="39"/>
    <w:semiHidden/>
    <w:unhideWhenUsed/>
    <w:qFormat/>
    <w:rsid w:val="003A0A16"/>
    <w:pPr>
      <w:outlineLvl w:val="9"/>
    </w:pPr>
    <w:rPr>
      <w:rFonts w:eastAsiaTheme="majorEastAsia" w:cstheme="majorBidi"/>
      <w:lang w:bidi="en-US"/>
    </w:rPr>
  </w:style>
  <w:style w:type="paragraph" w:customStyle="1" w:styleId="XLarge">
    <w:name w:val="XLarge"/>
    <w:basedOn w:val="HM"/>
    <w:rsid w:val="002A388A"/>
    <w:pPr>
      <w:spacing w:line="390" w:lineRule="exact"/>
    </w:pPr>
    <w:rPr>
      <w:spacing w:val="-4"/>
      <w:w w:val="98"/>
      <w:sz w:val="40"/>
    </w:rPr>
  </w:style>
  <w:style w:type="character" w:styleId="Hyperlink">
    <w:name w:val="Hyperlink"/>
    <w:basedOn w:val="DefaultParagraphFont"/>
    <w:rsid w:val="002A388A"/>
    <w:rPr>
      <w:color w:val="0000FF"/>
      <w:u w:val="none"/>
    </w:rPr>
  </w:style>
  <w:style w:type="paragraph" w:styleId="PlainText">
    <w:name w:val="Plain Text"/>
    <w:basedOn w:val="Normal"/>
    <w:link w:val="PlainTextChar"/>
    <w:rsid w:val="002A388A"/>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2A388A"/>
    <w:rPr>
      <w:rFonts w:ascii="Courier New" w:eastAsia="Times New Roman" w:hAnsi="Courier New" w:cs="Times New Roman"/>
      <w:sz w:val="20"/>
      <w:szCs w:val="20"/>
      <w:lang w:val="en-US" w:eastAsia="en-GB"/>
    </w:rPr>
  </w:style>
  <w:style w:type="paragraph" w:customStyle="1" w:styleId="ReleaseDate0">
    <w:name w:val="Release Date"/>
    <w:next w:val="Footer"/>
    <w:rsid w:val="002A388A"/>
    <w:pPr>
      <w:spacing w:after="0" w:line="240" w:lineRule="auto"/>
    </w:pPr>
    <w:rPr>
      <w:rFonts w:ascii="Times New Roman" w:hAnsi="Times New Roman" w:cs="Times New Roman"/>
      <w:spacing w:val="4"/>
      <w:w w:val="103"/>
      <w:kern w:val="14"/>
      <w:sz w:val="20"/>
      <w:szCs w:val="20"/>
      <w:lang w:eastAsia="en-US"/>
    </w:rPr>
  </w:style>
  <w:style w:type="paragraph" w:customStyle="1" w:styleId="Session">
    <w:name w:val="Session"/>
    <w:basedOn w:val="H23"/>
    <w:rsid w:val="002A388A"/>
  </w:style>
  <w:style w:type="table" w:styleId="TableGrid">
    <w:name w:val="Table Grid"/>
    <w:basedOn w:val="TableNormal"/>
    <w:rsid w:val="002A388A"/>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6E2FA3"/>
    <w:pPr>
      <w:ind w:left="1267" w:right="1267" w:hanging="1267"/>
      <w:outlineLvl w:val="1"/>
    </w:pPr>
    <w:rPr>
      <w:b/>
    </w:rPr>
  </w:style>
  <w:style w:type="paragraph" w:customStyle="1" w:styleId="STitleM">
    <w:name w:val="S_Title_M"/>
    <w:basedOn w:val="Normal"/>
    <w:next w:val="Normal"/>
    <w:qFormat/>
    <w:rsid w:val="003A0A16"/>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3A0A16"/>
    <w:pPr>
      <w:ind w:left="1264" w:right="1264"/>
    </w:pPr>
  </w:style>
  <w:style w:type="paragraph" w:customStyle="1" w:styleId="STitleL">
    <w:name w:val="S_Title_L"/>
    <w:basedOn w:val="SM"/>
    <w:next w:val="Normal"/>
    <w:qFormat/>
    <w:rsid w:val="003A0A16"/>
    <w:pPr>
      <w:spacing w:line="540" w:lineRule="exact"/>
    </w:pPr>
    <w:rPr>
      <w:rFonts w:eastAsiaTheme="minorEastAsia"/>
      <w:spacing w:val="-8"/>
      <w:w w:val="96"/>
      <w:sz w:val="57"/>
      <w:lang w:eastAsia="zh-CN"/>
    </w:rPr>
  </w:style>
  <w:style w:type="paragraph" w:customStyle="1" w:styleId="SummaryRecord">
    <w:name w:val="SummaryRecord"/>
    <w:basedOn w:val="H23"/>
    <w:next w:val="Session"/>
    <w:qFormat/>
    <w:rsid w:val="003A0A16"/>
  </w:style>
  <w:style w:type="paragraph" w:customStyle="1" w:styleId="SRMeetingInfo">
    <w:name w:val="SR_Meeting_Info"/>
    <w:next w:val="Normal"/>
    <w:qFormat/>
    <w:rsid w:val="003A0A16"/>
    <w:pPr>
      <w:spacing w:after="0" w:line="240" w:lineRule="exact"/>
    </w:pPr>
    <w:rPr>
      <w:rFonts w:ascii="Times New Roman" w:hAnsi="Times New Roman" w:cs="Times New Roman"/>
      <w:spacing w:val="4"/>
      <w:w w:val="103"/>
      <w:kern w:val="14"/>
      <w:sz w:val="20"/>
      <w:szCs w:val="20"/>
      <w:lang w:val="en-US" w:eastAsia="en-US"/>
    </w:rPr>
  </w:style>
  <w:style w:type="character" w:styleId="FollowedHyperlink">
    <w:name w:val="FollowedHyperlink"/>
    <w:basedOn w:val="DefaultParagraphFont"/>
    <w:uiPriority w:val="99"/>
    <w:semiHidden/>
    <w:unhideWhenUsed/>
    <w:rsid w:val="003A0A16"/>
    <w:rPr>
      <w:color w:val="0000FF"/>
      <w:u w:val="none"/>
    </w:rPr>
  </w:style>
  <w:style w:type="paragraph" w:styleId="NormalWeb">
    <w:name w:val="Normal (Web)"/>
    <w:basedOn w:val="Normal"/>
    <w:uiPriority w:val="99"/>
    <w:semiHidden/>
    <w:unhideWhenUsed/>
    <w:rsid w:val="003A0A16"/>
    <w:rPr>
      <w:sz w:val="24"/>
      <w:szCs w:val="24"/>
    </w:rPr>
  </w:style>
  <w:style w:type="paragraph" w:customStyle="1" w:styleId="SRContents">
    <w:name w:val="SR_Contents"/>
    <w:basedOn w:val="Normal"/>
    <w:qFormat/>
    <w:rsid w:val="003A0A1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pPr>
  </w:style>
  <w:style w:type="paragraph" w:customStyle="1" w:styleId="AgendaItemNumber">
    <w:name w:val="Agenda_Item_Number"/>
    <w:next w:val="Normal"/>
    <w:qFormat/>
    <w:rsid w:val="003A0A16"/>
    <w:pPr>
      <w:spacing w:after="0" w:line="240" w:lineRule="exact"/>
    </w:pPr>
    <w:rPr>
      <w:rFonts w:ascii="Times New Roman" w:hAnsi="Times New Roman" w:cs="Times New Roman"/>
      <w:spacing w:val="2"/>
      <w:w w:val="103"/>
      <w:kern w:val="14"/>
      <w:sz w:val="20"/>
      <w:szCs w:val="20"/>
      <w:lang w:eastAsia="en-US"/>
    </w:rPr>
  </w:style>
  <w:style w:type="paragraph" w:customStyle="1" w:styleId="AgendaItemTitle">
    <w:name w:val="Agenda_Item_Title"/>
    <w:basedOn w:val="TitleH1"/>
    <w:next w:val="Normal"/>
    <w:qFormat/>
    <w:rsid w:val="003A0A16"/>
    <w:pPr>
      <w:spacing w:line="240" w:lineRule="exact"/>
      <w:ind w:left="0" w:right="5040" w:firstLine="0"/>
      <w:outlineLvl w:val="1"/>
    </w:pPr>
    <w:rPr>
      <w:sz w:val="20"/>
    </w:rPr>
  </w:style>
  <w:style w:type="paragraph" w:customStyle="1" w:styleId="DecisionNumber">
    <w:name w:val="DecisionNumber"/>
    <w:basedOn w:val="TitleH1"/>
    <w:next w:val="Normal"/>
    <w:qFormat/>
    <w:rsid w:val="003A0A16"/>
    <w:pPr>
      <w:spacing w:line="240" w:lineRule="exact"/>
      <w:ind w:left="0" w:right="5040" w:firstLine="0"/>
      <w:outlineLvl w:val="1"/>
    </w:pPr>
    <w:rPr>
      <w:sz w:val="20"/>
    </w:rPr>
  </w:style>
  <w:style w:type="paragraph" w:customStyle="1" w:styleId="DecisionTitle">
    <w:name w:val="DecisionTitle"/>
    <w:basedOn w:val="TitleH1"/>
    <w:next w:val="Normal"/>
    <w:qFormat/>
    <w:rsid w:val="003A0A16"/>
    <w:pPr>
      <w:spacing w:line="240" w:lineRule="exact"/>
      <w:ind w:left="0" w:right="5040" w:firstLine="0"/>
      <w:outlineLvl w:val="1"/>
    </w:pPr>
    <w:rPr>
      <w:sz w:val="20"/>
    </w:rPr>
  </w:style>
  <w:style w:type="paragraph" w:customStyle="1" w:styleId="MeetingNumber">
    <w:name w:val="MeetingNumber"/>
    <w:basedOn w:val="TitleH1"/>
    <w:next w:val="Normal"/>
    <w:qFormat/>
    <w:rsid w:val="003A0A16"/>
    <w:pPr>
      <w:spacing w:line="240" w:lineRule="exact"/>
      <w:ind w:left="0" w:right="5040" w:firstLine="0"/>
      <w:outlineLvl w:val="1"/>
    </w:pPr>
    <w:rPr>
      <w:sz w:val="20"/>
    </w:rPr>
  </w:style>
  <w:style w:type="paragraph" w:styleId="CommentText">
    <w:name w:val="annotation text"/>
    <w:basedOn w:val="Normal"/>
    <w:link w:val="CommentTextChar"/>
    <w:uiPriority w:val="99"/>
    <w:unhideWhenUsed/>
    <w:rsid w:val="00715508"/>
    <w:pPr>
      <w:spacing w:line="240" w:lineRule="auto"/>
    </w:pPr>
  </w:style>
  <w:style w:type="character" w:customStyle="1" w:styleId="CommentTextChar">
    <w:name w:val="Comment Text Char"/>
    <w:basedOn w:val="DefaultParagraphFont"/>
    <w:link w:val="CommentText"/>
    <w:uiPriority w:val="99"/>
    <w:rsid w:val="00715508"/>
    <w:rPr>
      <w:rFonts w:ascii="Times New Roman"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715508"/>
    <w:rPr>
      <w:b/>
      <w:bCs/>
    </w:rPr>
  </w:style>
  <w:style w:type="character" w:customStyle="1" w:styleId="CommentSubjectChar">
    <w:name w:val="Comment Subject Char"/>
    <w:basedOn w:val="CommentTextChar"/>
    <w:link w:val="CommentSubject"/>
    <w:uiPriority w:val="99"/>
    <w:semiHidden/>
    <w:rsid w:val="00715508"/>
    <w:rPr>
      <w:rFonts w:ascii="Times New Roman" w:hAnsi="Times New Roman" w:cs="Times New Roman"/>
      <w:b/>
      <w:bCs/>
      <w:spacing w:val="4"/>
      <w:w w:val="103"/>
      <w:kern w:val="14"/>
      <w:sz w:val="20"/>
      <w:szCs w:val="20"/>
      <w:lang w:eastAsia="en-US"/>
    </w:rPr>
  </w:style>
  <w:style w:type="character" w:styleId="UnresolvedMention">
    <w:name w:val="Unresolved Mention"/>
    <w:basedOn w:val="DefaultParagraphFont"/>
    <w:uiPriority w:val="99"/>
    <w:semiHidden/>
    <w:unhideWhenUsed/>
    <w:rsid w:val="001E4C14"/>
    <w:rPr>
      <w:color w:val="605E5C"/>
      <w:shd w:val="clear" w:color="auto" w:fill="E1DFDD"/>
    </w:rPr>
  </w:style>
  <w:style w:type="paragraph" w:styleId="Revision">
    <w:name w:val="Revision"/>
    <w:hidden/>
    <w:uiPriority w:val="99"/>
    <w:semiHidden/>
    <w:rsid w:val="001E4C14"/>
    <w:pPr>
      <w:spacing w:after="0" w:line="240" w:lineRule="auto"/>
    </w:pPr>
    <w:rPr>
      <w:rFonts w:ascii="Times New Roman" w:hAnsi="Times New Roman" w:cs="Times New Roman"/>
      <w:spacing w:val="4"/>
      <w:w w:val="103"/>
      <w:kern w:val="14"/>
      <w:sz w:val="20"/>
      <w:szCs w:val="20"/>
      <w:lang w:eastAsia="en-US"/>
    </w:rPr>
  </w:style>
  <w:style w:type="paragraph" w:styleId="ListParagraph">
    <w:name w:val="List Paragraph"/>
    <w:aliases w:val="Bullet Points,Colorful List - Accent 11,Dot pt,F5 List Paragraph,Indicator Text,List Paragraph Char Char Char,List Paragraph1,List Paragraph2,MAIN CONTENT,No Spacing1,Normal numbered,Numbered Para 1,Issue Action POC,3,Bullet,列出段落,L,Text"/>
    <w:basedOn w:val="Normal"/>
    <w:link w:val="ListParagraphChar"/>
    <w:uiPriority w:val="34"/>
    <w:qFormat/>
    <w:rsid w:val="00202BBA"/>
    <w:pPr>
      <w:ind w:left="720"/>
      <w:contextualSpacing/>
    </w:pPr>
  </w:style>
  <w:style w:type="character" w:customStyle="1" w:styleId="H1Char">
    <w:name w:val="_ H_1 Char"/>
    <w:link w:val="H1"/>
    <w:rsid w:val="00202BBA"/>
    <w:rPr>
      <w:rFonts w:ascii="Times New Roman" w:hAnsi="Times New Roman" w:cs="Times New Roman"/>
      <w:b/>
      <w:spacing w:val="4"/>
      <w:w w:val="103"/>
      <w:kern w:val="14"/>
      <w:sz w:val="24"/>
      <w:szCs w:val="20"/>
      <w:lang w:eastAsia="en-US"/>
    </w:rPr>
  </w:style>
  <w:style w:type="character" w:customStyle="1" w:styleId="ListParagraphChar">
    <w:name w:val="List Paragraph Char"/>
    <w:aliases w:val="Bullet Points Char,Colorful List - Accent 11 Char,Dot pt Char,F5 List Paragraph Char,Indicator Text Char,List Paragraph Char Char Char Char,List Paragraph1 Char,List Paragraph2 Char,MAIN CONTENT Char,No Spacing1 Char,3 Char,列出段落 Char"/>
    <w:basedOn w:val="DefaultParagraphFont"/>
    <w:link w:val="ListParagraph"/>
    <w:uiPriority w:val="34"/>
    <w:qFormat/>
    <w:locked/>
    <w:rsid w:val="00202BBA"/>
    <w:rPr>
      <w:rFonts w:ascii="Times New Roman" w:hAnsi="Times New Roman" w:cs="Times New Roman"/>
      <w:spacing w:val="4"/>
      <w:w w:val="103"/>
      <w:kern w:val="14"/>
      <w:sz w:val="20"/>
      <w:szCs w:val="20"/>
      <w:lang w:eastAsia="en-US"/>
    </w:rPr>
  </w:style>
  <w:style w:type="character" w:customStyle="1" w:styleId="SingleTxtChar">
    <w:name w:val="__Single Txt Char"/>
    <w:link w:val="SingleTxt"/>
    <w:qFormat/>
    <w:rsid w:val="00202BBA"/>
    <w:rPr>
      <w:rFonts w:ascii="Times New Roman" w:hAnsi="Times New Roman" w:cs="Times New Roman"/>
      <w:spacing w:val="4"/>
      <w:w w:val="103"/>
      <w:kern w:val="14"/>
      <w:sz w:val="20"/>
      <w:szCs w:val="20"/>
      <w:lang w:eastAsia="en-US"/>
    </w:rPr>
  </w:style>
  <w:style w:type="character" w:customStyle="1" w:styleId="H23Char">
    <w:name w:val="_ H_2/3 Char"/>
    <w:link w:val="H23"/>
    <w:locked/>
    <w:rsid w:val="0042053A"/>
    <w:rPr>
      <w:rFonts w:ascii="Times New Roman" w:hAnsi="Times New Roman" w:cs="Times New Roman"/>
      <w:b/>
      <w:spacing w:val="4"/>
      <w:w w:val="103"/>
      <w:kern w:val="14"/>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ndocs.org/en/A/RES/3327(XXIX)" TargetMode="External"/><Relationship Id="rId21" Type="http://schemas.openxmlformats.org/officeDocument/2006/relationships/hyperlink" Target="https://undocs.org/en/A/RES/72/266" TargetMode="External"/><Relationship Id="rId42" Type="http://schemas.openxmlformats.org/officeDocument/2006/relationships/hyperlink" Target="https://undocs.org/en/E/RES/2017/24" TargetMode="External"/><Relationship Id="rId47" Type="http://schemas.openxmlformats.org/officeDocument/2006/relationships/image" Target="media/image6.png"/><Relationship Id="rId63" Type="http://schemas.openxmlformats.org/officeDocument/2006/relationships/hyperlink" Target="https://undocs.org/en/A/RES/63/217" TargetMode="External"/><Relationship Id="rId68" Type="http://schemas.openxmlformats.org/officeDocument/2006/relationships/hyperlink" Target="https://undocs.org/en/A/RES/75/216" TargetMode="External"/><Relationship Id="rId84" Type="http://schemas.openxmlformats.org/officeDocument/2006/relationships/hyperlink" Target="https://undocs.org/en/A/RES/75/252" TargetMode="External"/><Relationship Id="rId89" Type="http://schemas.openxmlformats.org/officeDocument/2006/relationships/hyperlink" Target="https://undocs.org/en/A/RES/73/239" TargetMode="External"/><Relationship Id="rId16" Type="http://schemas.openxmlformats.org/officeDocument/2006/relationships/comments" Target="comments.xml"/><Relationship Id="rId107" Type="http://schemas.openxmlformats.org/officeDocument/2006/relationships/theme" Target="theme/theme1.xml"/><Relationship Id="rId11" Type="http://schemas.openxmlformats.org/officeDocument/2006/relationships/header" Target="header2.xml"/><Relationship Id="rId32" Type="http://schemas.openxmlformats.org/officeDocument/2006/relationships/hyperlink" Target="https://undocs.org/en/A/RES/55/2" TargetMode="External"/><Relationship Id="rId37" Type="http://schemas.openxmlformats.org/officeDocument/2006/relationships/hyperlink" Target="https://undocs.org/en/A/RES/72/146" TargetMode="External"/><Relationship Id="rId53" Type="http://schemas.openxmlformats.org/officeDocument/2006/relationships/hyperlink" Target="https://undocs.org/en/A/RES/74/237" TargetMode="External"/><Relationship Id="rId58" Type="http://schemas.openxmlformats.org/officeDocument/2006/relationships/hyperlink" Target="https://undocs.org/en/A/RES/75/176" TargetMode="External"/><Relationship Id="rId74" Type="http://schemas.openxmlformats.org/officeDocument/2006/relationships/hyperlink" Target="https://undocs.org/en/A/RES/67/291" TargetMode="External"/><Relationship Id="rId79" Type="http://schemas.openxmlformats.org/officeDocument/2006/relationships/hyperlink" Target="https://undocs.org/en/A/RES/73/150" TargetMode="External"/><Relationship Id="rId102" Type="http://schemas.openxmlformats.org/officeDocument/2006/relationships/image" Target="media/image23.png"/><Relationship Id="rId5" Type="http://schemas.openxmlformats.org/officeDocument/2006/relationships/styles" Target="styles.xml"/><Relationship Id="rId90" Type="http://schemas.openxmlformats.org/officeDocument/2006/relationships/hyperlink" Target="https://undocs.org/en/A/RES/56/206" TargetMode="External"/><Relationship Id="rId95" Type="http://schemas.openxmlformats.org/officeDocument/2006/relationships/hyperlink" Target="https://undocs.org/en/A/RES/72/219" TargetMode="External"/><Relationship Id="rId22" Type="http://schemas.openxmlformats.org/officeDocument/2006/relationships/header" Target="header4.xml"/><Relationship Id="rId27" Type="http://schemas.openxmlformats.org/officeDocument/2006/relationships/hyperlink" Target="https://undocs.org/en/A/RES/32/162" TargetMode="External"/><Relationship Id="rId43" Type="http://schemas.openxmlformats.org/officeDocument/2006/relationships/hyperlink" Target="https://undocs.org/en/E/RES/2020/7" TargetMode="External"/><Relationship Id="rId48" Type="http://schemas.openxmlformats.org/officeDocument/2006/relationships/hyperlink" Target="https://undocs.org/en/A/RES/42/146" TargetMode="External"/><Relationship Id="rId64" Type="http://schemas.openxmlformats.org/officeDocument/2006/relationships/hyperlink" Target="https://undocs.org/en/A/RES/67/263" TargetMode="External"/><Relationship Id="rId69" Type="http://schemas.openxmlformats.org/officeDocument/2006/relationships/hyperlink" Target="https://undocs.org/en/A/RES/75/218" TargetMode="External"/><Relationship Id="rId80" Type="http://schemas.openxmlformats.org/officeDocument/2006/relationships/hyperlink" Target="https://undocs.org/en/A/RES/73/230" TargetMode="External"/><Relationship Id="rId85" Type="http://schemas.openxmlformats.org/officeDocument/2006/relationships/hyperlink" Target="https://undocs.org/en/A/RES/71/235" TargetMode="External"/><Relationship Id="rId12" Type="http://schemas.openxmlformats.org/officeDocument/2006/relationships/footer" Target="footer1.xml"/><Relationship Id="rId17" Type="http://schemas.microsoft.com/office/2011/relationships/commentsExtended" Target="commentsExtended.xml"/><Relationship Id="rId33" Type="http://schemas.openxmlformats.org/officeDocument/2006/relationships/hyperlink" Target="https://undocs.org/en/A/RES/S-25/2" TargetMode="External"/><Relationship Id="rId38" Type="http://schemas.openxmlformats.org/officeDocument/2006/relationships/hyperlink" Target="https://undocs.org/en/A/RES/72/234" TargetMode="External"/><Relationship Id="rId59" Type="http://schemas.openxmlformats.org/officeDocument/2006/relationships/hyperlink" Target="http://www.urbanpolicyplatform.org" TargetMode="External"/><Relationship Id="rId103" Type="http://schemas.openxmlformats.org/officeDocument/2006/relationships/image" Target="media/image24.png"/><Relationship Id="rId108" Type="http://schemas.microsoft.com/office/2018/08/relationships/commentsExtensible" Target="commentsExtensible.xml"/><Relationship Id="rId20" Type="http://schemas.openxmlformats.org/officeDocument/2006/relationships/hyperlink" Target="https://undocs.org/en/A/RES/72/266" TargetMode="External"/><Relationship Id="rId41" Type="http://schemas.openxmlformats.org/officeDocument/2006/relationships/hyperlink" Target="https://undocs.org/en/A/RES/75/224" TargetMode="External"/><Relationship Id="rId54" Type="http://schemas.openxmlformats.org/officeDocument/2006/relationships/image" Target="media/image7.png"/><Relationship Id="rId62" Type="http://schemas.openxmlformats.org/officeDocument/2006/relationships/image" Target="media/image12.png"/><Relationship Id="rId70" Type="http://schemas.openxmlformats.org/officeDocument/2006/relationships/hyperlink" Target="https://undocs.org/en/A/RES/75/219" TargetMode="External"/><Relationship Id="rId75" Type="http://schemas.openxmlformats.org/officeDocument/2006/relationships/hyperlink" Target="https://undocs.org/en/A/RES/69/280" TargetMode="External"/><Relationship Id="rId83" Type="http://schemas.openxmlformats.org/officeDocument/2006/relationships/image" Target="media/image15.png"/><Relationship Id="rId88" Type="http://schemas.openxmlformats.org/officeDocument/2006/relationships/hyperlink" Target="https://undocs.org/en/A/73/726" TargetMode="External"/><Relationship Id="rId91" Type="http://schemas.openxmlformats.org/officeDocument/2006/relationships/hyperlink" Target="https://undocs.org/en/A/73/726" TargetMode="External"/><Relationship Id="rId96" Type="http://schemas.openxmlformats.org/officeDocument/2006/relationships/image" Target="media/image17.pn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hyperlink" Target="https://undocs.org/en/A/RES/56/206" TargetMode="External"/><Relationship Id="rId36" Type="http://schemas.openxmlformats.org/officeDocument/2006/relationships/hyperlink" Target="https://undocs.org/en/A/RES/71/256" TargetMode="External"/><Relationship Id="rId49" Type="http://schemas.openxmlformats.org/officeDocument/2006/relationships/hyperlink" Target="https://undocs.org/en/A/RES/67/291" TargetMode="External"/><Relationship Id="rId57" Type="http://schemas.openxmlformats.org/officeDocument/2006/relationships/hyperlink" Target="https://undocs.org/en/A/RES/71/327" TargetMode="External"/><Relationship Id="rId106" Type="http://schemas.openxmlformats.org/officeDocument/2006/relationships/fontTable" Target="fontTable.xml"/><Relationship Id="rId10" Type="http://schemas.openxmlformats.org/officeDocument/2006/relationships/header" Target="header1.xml"/><Relationship Id="rId31" Type="http://schemas.openxmlformats.org/officeDocument/2006/relationships/hyperlink" Target="https://undocs.org/en/A/RES/53/242" TargetMode="External"/><Relationship Id="rId44" Type="http://schemas.openxmlformats.org/officeDocument/2006/relationships/hyperlink" Target="https://undocs.org/en/E/RES/2020/9" TargetMode="External"/><Relationship Id="rId52" Type="http://schemas.openxmlformats.org/officeDocument/2006/relationships/hyperlink" Target="https://undocs.org/en/A/RES/74/141" TargetMode="External"/><Relationship Id="rId60" Type="http://schemas.openxmlformats.org/officeDocument/2006/relationships/image" Target="media/image10.png"/><Relationship Id="rId65" Type="http://schemas.openxmlformats.org/officeDocument/2006/relationships/hyperlink" Target="https://undocs.org/en/A/RES/69/225" TargetMode="External"/><Relationship Id="rId73" Type="http://schemas.openxmlformats.org/officeDocument/2006/relationships/hyperlink" Target="https://undocs.org/en/A/RES/64/292" TargetMode="External"/><Relationship Id="rId78" Type="http://schemas.openxmlformats.org/officeDocument/2006/relationships/hyperlink" Target="https://undocs.org/en/A/RES/74/118" TargetMode="External"/><Relationship Id="rId81" Type="http://schemas.openxmlformats.org/officeDocument/2006/relationships/hyperlink" Target="https://undocs.org/en/A/RES/74/115" TargetMode="External"/><Relationship Id="rId86" Type="http://schemas.openxmlformats.org/officeDocument/2006/relationships/hyperlink" Target="https://undocs.org/en/A/RES/73/239" TargetMode="External"/><Relationship Id="rId94" Type="http://schemas.openxmlformats.org/officeDocument/2006/relationships/image" Target="media/image16.png"/><Relationship Id="rId99" Type="http://schemas.openxmlformats.org/officeDocument/2006/relationships/image" Target="media/image20.png"/><Relationship Id="rId10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footer" Target="footer2.xml"/><Relationship Id="rId18" Type="http://schemas.microsoft.com/office/2016/09/relationships/commentsIds" Target="commentsIds.xml"/><Relationship Id="rId39" Type="http://schemas.openxmlformats.org/officeDocument/2006/relationships/hyperlink" Target="https://undocs.org/en/A/RES/75/212" TargetMode="External"/><Relationship Id="rId34" Type="http://schemas.openxmlformats.org/officeDocument/2006/relationships/hyperlink" Target="https://undocs.org/en/A/RES/56/206" TargetMode="External"/><Relationship Id="rId50" Type="http://schemas.openxmlformats.org/officeDocument/2006/relationships/hyperlink" Target="https://undocs.org/en/A/RES/69/213" TargetMode="External"/><Relationship Id="rId55" Type="http://schemas.openxmlformats.org/officeDocument/2006/relationships/image" Target="media/image8.png"/><Relationship Id="rId76" Type="http://schemas.openxmlformats.org/officeDocument/2006/relationships/hyperlink" Target="https://undocs.org/en/A/RES/69/283" TargetMode="External"/><Relationship Id="rId97" Type="http://schemas.openxmlformats.org/officeDocument/2006/relationships/image" Target="media/image18.png"/><Relationship Id="rId104" Type="http://schemas.openxmlformats.org/officeDocument/2006/relationships/hyperlink" Target="https://undocs.org/en/A/74/5/Add.9" TargetMode="External"/><Relationship Id="rId7" Type="http://schemas.openxmlformats.org/officeDocument/2006/relationships/webSettings" Target="webSettings.xml"/><Relationship Id="rId71" Type="http://schemas.openxmlformats.org/officeDocument/2006/relationships/image" Target="media/image13.png"/><Relationship Id="rId92" Type="http://schemas.openxmlformats.org/officeDocument/2006/relationships/hyperlink" Target="https://undocs.org/en/A/RES/73/239" TargetMode="External"/><Relationship Id="rId2" Type="http://schemas.openxmlformats.org/officeDocument/2006/relationships/customXml" Target="../customXml/item2.xml"/><Relationship Id="rId29" Type="http://schemas.openxmlformats.org/officeDocument/2006/relationships/hyperlink" Target="https://undocs.org/en/A/RES/73/239" TargetMode="External"/><Relationship Id="rId24" Type="http://schemas.openxmlformats.org/officeDocument/2006/relationships/header" Target="header6.xml"/><Relationship Id="rId40" Type="http://schemas.openxmlformats.org/officeDocument/2006/relationships/hyperlink" Target="https://undocs.org/en/A/RES/75/221" TargetMode="External"/><Relationship Id="rId45" Type="http://schemas.openxmlformats.org/officeDocument/2006/relationships/image" Target="media/image4.png"/><Relationship Id="rId66" Type="http://schemas.openxmlformats.org/officeDocument/2006/relationships/hyperlink" Target="https://undocs.org/en/A/RES/73/228" TargetMode="External"/><Relationship Id="rId87" Type="http://schemas.openxmlformats.org/officeDocument/2006/relationships/hyperlink" Target="https://undocs.org/en/A/RES/73/239" TargetMode="External"/><Relationship Id="rId61" Type="http://schemas.openxmlformats.org/officeDocument/2006/relationships/image" Target="media/image11.png"/><Relationship Id="rId82" Type="http://schemas.openxmlformats.org/officeDocument/2006/relationships/hyperlink" Target="https://undocs.org/en/A/RES/74/160" TargetMode="External"/><Relationship Id="rId19" Type="http://schemas.openxmlformats.org/officeDocument/2006/relationships/hyperlink" Target="https://undocs.org/en/A/76/50" TargetMode="External"/><Relationship Id="rId14" Type="http://schemas.openxmlformats.org/officeDocument/2006/relationships/header" Target="header3.xml"/><Relationship Id="rId30" Type="http://schemas.openxmlformats.org/officeDocument/2006/relationships/hyperlink" Target="https://undocs.org/en/A/RES/34/114" TargetMode="External"/><Relationship Id="rId35" Type="http://schemas.openxmlformats.org/officeDocument/2006/relationships/hyperlink" Target="https://undocs.org/en/A/RES/70/1" TargetMode="External"/><Relationship Id="rId56" Type="http://schemas.openxmlformats.org/officeDocument/2006/relationships/image" Target="media/image9.png"/><Relationship Id="rId77" Type="http://schemas.openxmlformats.org/officeDocument/2006/relationships/hyperlink" Target="https://undocs.org/en/A/RES/73/139" TargetMode="External"/><Relationship Id="rId100" Type="http://schemas.openxmlformats.org/officeDocument/2006/relationships/image" Target="media/image21.png"/><Relationship Id="rId105" Type="http://schemas.openxmlformats.org/officeDocument/2006/relationships/hyperlink" Target="https://undocs.org/en/A/RES/67/226" TargetMode="External"/><Relationship Id="rId8" Type="http://schemas.openxmlformats.org/officeDocument/2006/relationships/footnotes" Target="footnotes.xml"/><Relationship Id="rId51" Type="http://schemas.openxmlformats.org/officeDocument/2006/relationships/hyperlink" Target="https://undocs.org/en/A/RES/74/299" TargetMode="External"/><Relationship Id="rId72" Type="http://schemas.openxmlformats.org/officeDocument/2006/relationships/image" Target="media/image14.png"/><Relationship Id="rId93" Type="http://schemas.openxmlformats.org/officeDocument/2006/relationships/hyperlink" Target="https://undocs.org/en/A/73/726" TargetMode="External"/><Relationship Id="rId98" Type="http://schemas.openxmlformats.org/officeDocument/2006/relationships/image" Target="media/image19.png"/><Relationship Id="rId3" Type="http://schemas.openxmlformats.org/officeDocument/2006/relationships/customXml" Target="../customXml/item3.xml"/><Relationship Id="rId25" Type="http://schemas.openxmlformats.org/officeDocument/2006/relationships/footer" Target="footer4.xml"/><Relationship Id="rId46" Type="http://schemas.openxmlformats.org/officeDocument/2006/relationships/image" Target="media/image5.png"/><Relationship Id="rId67" Type="http://schemas.openxmlformats.org/officeDocument/2006/relationships/hyperlink" Target="https://undocs.org/en/A/RES/74/219"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74/6(Sect.15)" TargetMode="External"/><Relationship Id="rId3" Type="http://schemas.openxmlformats.org/officeDocument/2006/relationships/hyperlink" Target="https://undocs.org/en/A/75/6/Add.1" TargetMode="External"/><Relationship Id="rId7" Type="http://schemas.openxmlformats.org/officeDocument/2006/relationships/hyperlink" Target="https://undocs.org/en/A/75/6(Sect.15)" TargetMode="External"/><Relationship Id="rId2" Type="http://schemas.openxmlformats.org/officeDocument/2006/relationships/hyperlink" Target="https://undocs.org/en/A/74/6(Sect.15)" TargetMode="External"/><Relationship Id="rId1" Type="http://schemas.openxmlformats.org/officeDocument/2006/relationships/hyperlink" Target="https://undocs.org/en/A/RES/69/283" TargetMode="External"/><Relationship Id="rId6" Type="http://schemas.openxmlformats.org/officeDocument/2006/relationships/hyperlink" Target="https://undocs.org/en/A/75/6(Sect.15)" TargetMode="External"/><Relationship Id="rId5" Type="http://schemas.openxmlformats.org/officeDocument/2006/relationships/hyperlink" Target="https://undocs.org/en/A/75/6/Add.1" TargetMode="External"/><Relationship Id="rId4" Type="http://schemas.openxmlformats.org/officeDocument/2006/relationships/hyperlink" Target="https://undocs.org/en/A/74/6(Sect.15)" TargetMode="External"/><Relationship Id="rId9" Type="http://schemas.openxmlformats.org/officeDocument/2006/relationships/hyperlink" Target="https://undocs.org/en/A/75/6/Add.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7E7EF9682D7B4EAA3A257BA65AF833" ma:contentTypeVersion="8" ma:contentTypeDescription="Create a new document." ma:contentTypeScope="" ma:versionID="b906d8ff06224b3346e5a0fb73c85e9a">
  <xsd:schema xmlns:xsd="http://www.w3.org/2001/XMLSchema" xmlns:xs="http://www.w3.org/2001/XMLSchema" xmlns:p="http://schemas.microsoft.com/office/2006/metadata/properties" xmlns:ns2="f6f0b70a-9908-4832-9cf1-6250aae4a2f2" xmlns:ns3="50d760f6-d5fa-44a2-9c26-df7cbae4a729" targetNamespace="http://schemas.microsoft.com/office/2006/metadata/properties" ma:root="true" ma:fieldsID="9a6cf26462e47fe52c5a0093fb5ab433" ns2:_="" ns3:_="">
    <xsd:import namespace="f6f0b70a-9908-4832-9cf1-6250aae4a2f2"/>
    <xsd:import namespace="50d760f6-d5fa-44a2-9c26-df7cbae4a7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f0b70a-9908-4832-9cf1-6250aae4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d760f6-d5fa-44a2-9c26-df7cbae4a7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50D850-A9B0-4C7B-A004-BC0EBE9A157C}"/>
</file>

<file path=customXml/itemProps2.xml><?xml version="1.0" encoding="utf-8"?>
<ds:datastoreItem xmlns:ds="http://schemas.openxmlformats.org/officeDocument/2006/customXml" ds:itemID="{E86C3429-E9C1-499B-B14D-EB7054869D5B}">
  <ds:schemaRefs>
    <ds:schemaRef ds:uri="http://schemas.microsoft.com/sharepoint/v3/contenttype/forms"/>
  </ds:schemaRefs>
</ds:datastoreItem>
</file>

<file path=customXml/itemProps3.xml><?xml version="1.0" encoding="utf-8"?>
<ds:datastoreItem xmlns:ds="http://schemas.openxmlformats.org/officeDocument/2006/customXml" ds:itemID="{5BA42B9E-C4EA-42AA-A6BE-2A685769FA84}">
  <ds:schemaRefs>
    <ds:schemaRef ds:uri="http://schemas.openxmlformats.org/package/2006/metadata/core-properties"/>
    <ds:schemaRef ds:uri="http://purl.org/dc/terms/"/>
    <ds:schemaRef ds:uri="http://schemas.microsoft.com/office/2006/metadata/properties"/>
    <ds:schemaRef ds:uri="31eeb98e-90e3-4d81-af45-df7da42028c0"/>
    <ds:schemaRef ds:uri="http://schemas.microsoft.com/office/infopath/2007/PartnerControls"/>
    <ds:schemaRef ds:uri="http://purl.org/dc/dcmitype/"/>
    <ds:schemaRef ds:uri="http://schemas.microsoft.com/office/2006/documentManagement/types"/>
    <ds:schemaRef ds:uri="216f5fd1-64b5-46a6-a50d-1afd4873157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30332</Words>
  <Characters>172897</Characters>
  <Application>Microsoft Office Word</Application>
  <DocSecurity>0</DocSecurity>
  <Lines>1440</Lines>
  <Paragraphs>405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Chambers</dc:creator>
  <cp:keywords/>
  <dc:description/>
  <cp:lastModifiedBy>Mariana Lessa Voita</cp:lastModifiedBy>
  <cp:revision>2</cp:revision>
  <cp:lastPrinted>2021-05-21T19:17:00Z</cp:lastPrinted>
  <dcterms:created xsi:type="dcterms:W3CDTF">2021-08-11T08:21:00Z</dcterms:created>
  <dcterms:modified xsi:type="dcterms:W3CDTF">2021-08-11T08:21:00Z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2105020</vt:lpwstr>
  </property>
  <property fmtid="{D5CDD505-2E9C-101B-9397-08002B2CF9AE}" pid="3" name="ODSRefJobNo">
    <vt:lpwstr>2109363E</vt:lpwstr>
  </property>
  <property fmtid="{D5CDD505-2E9C-101B-9397-08002B2CF9AE}" pid="4" name="Symbol1">
    <vt:lpwstr>A/76/6 (Sect. 15)</vt:lpwstr>
  </property>
  <property fmtid="{D5CDD505-2E9C-101B-9397-08002B2CF9AE}" pid="5" name="Symbol2">
    <vt:lpwstr/>
  </property>
  <property fmtid="{D5CDD505-2E9C-101B-9397-08002B2CF9AE}" pid="6" name="Translator">
    <vt:lpwstr/>
  </property>
  <property fmtid="{D5CDD505-2E9C-101B-9397-08002B2CF9AE}" pid="7" name="Operator">
    <vt:lpwstr/>
  </property>
  <property fmtid="{D5CDD505-2E9C-101B-9397-08002B2CF9AE}" pid="8" name="DraftPages">
    <vt:lpwstr> </vt:lpwstr>
  </property>
  <property fmtid="{D5CDD505-2E9C-101B-9397-08002B2CF9AE}" pid="9" name="Comment">
    <vt:lpwstr/>
  </property>
  <property fmtid="{D5CDD505-2E9C-101B-9397-08002B2CF9AE}" pid="10" name="DocType">
    <vt:lpwstr>S</vt:lpwstr>
  </property>
  <property fmtid="{D5CDD505-2E9C-101B-9397-08002B2CF9AE}" pid="11" name="Category">
    <vt:lpwstr>Document</vt:lpwstr>
  </property>
  <property fmtid="{D5CDD505-2E9C-101B-9397-08002B2CF9AE}" pid="12" name="Language">
    <vt:lpwstr>English</vt:lpwstr>
  </property>
  <property fmtid="{D5CDD505-2E9C-101B-9397-08002B2CF9AE}" pid="13" name="Session1">
    <vt:lpwstr>Seventy-sixth session_x000d_</vt:lpwstr>
  </property>
  <property fmtid="{D5CDD505-2E9C-101B-9397-08002B2CF9AE}" pid="14" name="Agenda1">
    <vt:lpwstr>Items 140 and 141 of the preliminary list*_x000d_</vt:lpwstr>
  </property>
  <property fmtid="{D5CDD505-2E9C-101B-9397-08002B2CF9AE}" pid="15" name="Agenda Title1">
    <vt:lpwstr>Proposed programme budget for 2022_x000d_</vt:lpwstr>
  </property>
  <property fmtid="{D5CDD505-2E9C-101B-9397-08002B2CF9AE}" pid="16" name="Agenda Title2">
    <vt:lpwstr>Programme planning_x000d_</vt:lpwstr>
  </property>
  <property fmtid="{D5CDD505-2E9C-101B-9397-08002B2CF9AE}" pid="17" name="Title1">
    <vt:lpwstr>		Proposed programme budget for 2022_x000d_</vt:lpwstr>
  </property>
  <property fmtid="{D5CDD505-2E9C-101B-9397-08002B2CF9AE}" pid="18" name="Title2">
    <vt:lpwstr>		Human settlements_x000d_</vt:lpwstr>
  </property>
  <property fmtid="{D5CDD505-2E9C-101B-9397-08002B2CF9AE}" pid="19" name="ContentTypeId">
    <vt:lpwstr>0x010100D37E7EF9682D7B4EAA3A257BA65AF833</vt:lpwstr>
  </property>
</Properties>
</file>